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19"/>
          <w:rFonts w:hint="default" w:ascii="楷体" w:hAnsi="楷体" w:eastAsia="楷体"/>
        </w:rPr>
      </w:pPr>
      <w:r>
        <w:rPr>
          <w:sz w:val="28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6350</wp:posOffset>
            </wp:positionV>
            <wp:extent cx="629285" cy="629285"/>
            <wp:effectExtent l="0" t="0" r="0" b="0"/>
            <wp:wrapNone/>
            <wp:docPr id="6" name="图片 6" descr="F:\校内工作\校办\校训\东北大学校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:\校内工作\校办\校训\东北大学校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107" cy="62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19"/>
          <w:rFonts w:hint="default" w:ascii="微软雅黑" w:hAnsi="微软雅黑" w:eastAsia="微软雅黑"/>
        </w:rPr>
        <w:t xml:space="preserve"> </w:t>
      </w:r>
      <w:r>
        <w:rPr>
          <w:rStyle w:val="19"/>
          <w:rFonts w:hint="default" w:ascii="微软雅黑" w:hAnsi="微软雅黑" w:eastAsia="微软雅黑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Style w:val="19"/>
          <w:rFonts w:hint="default" w:ascii="微软雅黑" w:hAnsi="微软雅黑" w:eastAsia="微软雅黑"/>
        </w:rPr>
        <w:instrText xml:space="preserve">ADDIN CNKISM.UserStyle</w:instrText>
      </w:r>
      <w:r>
        <w:rPr>
          <w:rStyle w:val="19"/>
          <w:rFonts w:hint="default" w:ascii="微软雅黑" w:hAnsi="微软雅黑" w:eastAsia="微软雅黑"/>
        </w:rPr>
        <w:fldChar w:fldCharType="end"/>
      </w:r>
      <w:r>
        <w:rPr>
          <w:rStyle w:val="19"/>
          <w:rFonts w:hint="default" w:ascii="楷体" w:hAnsi="楷体" w:eastAsia="楷体"/>
          <w:color w:val="004EA2"/>
        </w:rPr>
        <w:t>高教研究与发展动态</w:t>
      </w:r>
    </w:p>
    <w:p>
      <w:pPr>
        <w:jc w:val="center"/>
        <w:rPr>
          <w:rStyle w:val="20"/>
          <w:rFonts w:hint="default" w:ascii="仿宋" w:hAnsi="仿宋" w:eastAsia="仿宋"/>
          <w:color w:val="000000" w:themeColor="text1"/>
          <w:sz w:val="28"/>
          <w:szCs w:val="28"/>
        </w:rPr>
      </w:pPr>
      <w:r>
        <w:rPr>
          <w:rStyle w:val="19"/>
          <w:rFonts w:hint="default" w:ascii="仿宋" w:hAnsi="仿宋" w:eastAsia="仿宋"/>
          <w:color w:val="000000" w:themeColor="text1"/>
          <w:sz w:val="28"/>
          <w:szCs w:val="28"/>
        </w:rPr>
        <w:t>2020</w:t>
      </w:r>
      <w:r>
        <w:rPr>
          <w:rStyle w:val="20"/>
          <w:rFonts w:hint="default" w:ascii="仿宋" w:hAnsi="仿宋" w:eastAsia="仿宋"/>
          <w:color w:val="000000" w:themeColor="text1"/>
          <w:sz w:val="28"/>
          <w:szCs w:val="28"/>
        </w:rPr>
        <w:t>年第</w:t>
      </w:r>
      <w:r>
        <w:rPr>
          <w:rStyle w:val="19"/>
          <w:rFonts w:hint="default" w:ascii="仿宋" w:hAnsi="仿宋" w:eastAsia="仿宋"/>
          <w:color w:val="000000" w:themeColor="text1"/>
          <w:sz w:val="28"/>
          <w:szCs w:val="28"/>
        </w:rPr>
        <w:t>2</w:t>
      </w:r>
      <w:r>
        <w:rPr>
          <w:rStyle w:val="20"/>
          <w:rFonts w:hint="default" w:ascii="仿宋" w:hAnsi="仿宋" w:eastAsia="仿宋"/>
          <w:color w:val="000000" w:themeColor="text1"/>
          <w:sz w:val="28"/>
          <w:szCs w:val="28"/>
        </w:rPr>
        <w:t>期（总第</w:t>
      </w:r>
      <w:r>
        <w:rPr>
          <w:rStyle w:val="19"/>
          <w:rFonts w:hint="default" w:ascii="仿宋" w:hAnsi="仿宋" w:eastAsia="仿宋"/>
          <w:color w:val="000000" w:themeColor="text1"/>
          <w:sz w:val="28"/>
          <w:szCs w:val="28"/>
        </w:rPr>
        <w:t>5</w:t>
      </w:r>
      <w:r>
        <w:rPr>
          <w:rStyle w:val="20"/>
          <w:rFonts w:hint="default" w:ascii="仿宋" w:hAnsi="仿宋" w:eastAsia="仿宋"/>
          <w:color w:val="000000" w:themeColor="text1"/>
          <w:sz w:val="28"/>
          <w:szCs w:val="28"/>
        </w:rPr>
        <w:t>期）</w:t>
      </w:r>
    </w:p>
    <w:p>
      <w:pPr>
        <w:jc w:val="left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ascii="仿宋" w:hAnsi="仿宋" w:eastAsia="仿宋"/>
          <w:color w:val="000000" w:themeColor="text1"/>
          <w:sz w:val="24"/>
          <w:szCs w:val="28"/>
        </w:rPr>
        <w:pict>
          <v:line id="直接连接符 5" o:spid="_x0000_s1026" o:spt="20" style="position:absolute;left:0pt;margin-left:-21.35pt;margin-top:21pt;height:0pt;width:464.25pt;z-index:251643904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">
            <v:path arrowok="t"/>
            <v:fill focussize="0,0"/>
            <v:stroke weight="1.5pt" color="#004EA2" joinstyle="miter" dashstyle="longDashDot"/>
            <v:imagedata o:title=""/>
            <o:lock v:ext="edit"/>
          </v:line>
        </w:pict>
      </w:r>
      <w:r>
        <w:rPr>
          <w:rFonts w:ascii="仿宋" w:hAnsi="仿宋" w:eastAsia="仿宋"/>
          <w:color w:val="000000" w:themeColor="text1"/>
          <w:sz w:val="24"/>
          <w:szCs w:val="28"/>
        </w:rPr>
        <w:t>发展规划与学科建设处</w:t>
      </w:r>
      <w:r>
        <w:rPr>
          <w:rFonts w:hint="eastAsia" w:ascii="仿宋" w:hAnsi="仿宋" w:eastAsia="仿宋"/>
          <w:color w:val="000000" w:themeColor="text1"/>
          <w:sz w:val="24"/>
          <w:szCs w:val="28"/>
        </w:rPr>
        <w:t>(高等</w:t>
      </w:r>
      <w:r>
        <w:rPr>
          <w:rFonts w:ascii="仿宋" w:hAnsi="仿宋" w:eastAsia="仿宋"/>
          <w:color w:val="000000" w:themeColor="text1"/>
          <w:sz w:val="24"/>
          <w:szCs w:val="28"/>
        </w:rPr>
        <w:t>教育研究所</w:t>
      </w:r>
      <w:r>
        <w:rPr>
          <w:rFonts w:hint="eastAsia" w:ascii="仿宋" w:hAnsi="仿宋" w:eastAsia="仿宋"/>
          <w:color w:val="000000" w:themeColor="text1"/>
          <w:sz w:val="24"/>
          <w:szCs w:val="28"/>
        </w:rPr>
        <w:t>)</w:t>
      </w:r>
      <w:r>
        <w:rPr>
          <w:rFonts w:ascii="仿宋" w:hAnsi="仿宋" w:eastAsia="仿宋"/>
          <w:color w:val="000000" w:themeColor="text1"/>
          <w:sz w:val="24"/>
          <w:szCs w:val="28"/>
        </w:rPr>
        <w:t xml:space="preserve">              </w:t>
      </w:r>
      <w:r>
        <w:rPr>
          <w:rFonts w:hint="eastAsia" w:ascii="仿宋" w:hAnsi="仿宋" w:eastAsia="仿宋"/>
          <w:color w:val="000000" w:themeColor="text1"/>
          <w:sz w:val="24"/>
          <w:szCs w:val="28"/>
        </w:rPr>
        <w:t>2020年</w:t>
      </w:r>
      <w:r>
        <w:rPr>
          <w:rFonts w:ascii="仿宋" w:hAnsi="仿宋" w:eastAsia="仿宋"/>
          <w:color w:val="000000" w:themeColor="text1"/>
          <w:sz w:val="24"/>
          <w:szCs w:val="28"/>
        </w:rPr>
        <w:t>6</w:t>
      </w:r>
      <w:r>
        <w:rPr>
          <w:rFonts w:hint="eastAsia" w:ascii="仿宋" w:hAnsi="仿宋" w:eastAsia="仿宋"/>
          <w:color w:val="000000" w:themeColor="text1"/>
          <w:sz w:val="24"/>
          <w:szCs w:val="28"/>
        </w:rPr>
        <w:t>月</w:t>
      </w:r>
      <w:r>
        <w:rPr>
          <w:rFonts w:ascii="仿宋" w:hAnsi="仿宋" w:eastAsia="仿宋"/>
          <w:color w:val="000000" w:themeColor="text1"/>
          <w:sz w:val="24"/>
          <w:szCs w:val="28"/>
        </w:rPr>
        <w:t>10</w:t>
      </w:r>
      <w:r>
        <w:rPr>
          <w:rFonts w:hint="eastAsia" w:ascii="仿宋" w:hAnsi="仿宋" w:eastAsia="仿宋"/>
          <w:color w:val="000000" w:themeColor="text1"/>
          <w:sz w:val="24"/>
          <w:szCs w:val="28"/>
        </w:rPr>
        <w:t>日</w:t>
      </w:r>
    </w:p>
    <w:p>
      <w:pPr>
        <w:tabs>
          <w:tab w:val="left" w:pos="2177"/>
        </w:tabs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</w:p>
    <w:p>
      <w:pPr>
        <w:tabs>
          <w:tab w:val="left" w:pos="2177"/>
        </w:tabs>
        <w:jc w:val="center"/>
        <w:rPr>
          <w:rStyle w:val="19"/>
          <w:rFonts w:hint="default" w:ascii="黑体" w:hAnsi="黑体" w:eastAsia="黑体"/>
          <w:color w:val="004EA2"/>
          <w:sz w:val="48"/>
        </w:rPr>
      </w:pPr>
      <w:r>
        <w:rPr>
          <w:rStyle w:val="19"/>
          <w:rFonts w:hint="default" w:ascii="黑体" w:hAnsi="黑体" w:eastAsia="黑体"/>
          <w:color w:val="004EA2"/>
          <w:sz w:val="48"/>
        </w:rPr>
        <w:t>本期目录</w:t>
      </w:r>
    </w:p>
    <w:p>
      <w:pPr>
        <w:tabs>
          <w:tab w:val="left" w:pos="2177"/>
        </w:tabs>
        <w:jc w:val="center"/>
        <w:rPr>
          <w:rStyle w:val="19"/>
          <w:rFonts w:hint="default" w:ascii="黑体" w:hAnsi="黑体" w:eastAsia="黑体"/>
          <w:color w:val="004EA2"/>
          <w:sz w:val="48"/>
        </w:rPr>
      </w:pPr>
    </w:p>
    <w:p>
      <w:pPr>
        <w:pStyle w:val="9"/>
        <w:ind w:left="199" w:leftChars="95" w:firstLineChars="50"/>
        <w:rPr>
          <w:rFonts w:eastAsiaTheme="minorEastAsia"/>
          <w:sz w:val="21"/>
        </w:rPr>
      </w:pPr>
      <w:r>
        <w:rPr>
          <w:rFonts w:ascii="楷体" w:hAnsi="楷体"/>
          <w:color w:val="000000" w:themeColor="text1"/>
          <w:sz w:val="40"/>
          <w:szCs w:val="28"/>
        </w:rPr>
        <w:fldChar w:fldCharType="begin"/>
      </w:r>
      <w:r>
        <w:rPr>
          <w:rFonts w:ascii="楷体" w:hAnsi="楷体"/>
          <w:color w:val="000000" w:themeColor="text1"/>
          <w:sz w:val="40"/>
          <w:szCs w:val="28"/>
        </w:rPr>
        <w:instrText xml:space="preserve"> TOC \o "1-3" \h \z \u </w:instrText>
      </w:r>
      <w:r>
        <w:rPr>
          <w:rFonts w:ascii="楷体" w:hAnsi="楷体"/>
          <w:color w:val="000000" w:themeColor="text1"/>
          <w:sz w:val="40"/>
          <w:szCs w:val="28"/>
        </w:rPr>
        <w:fldChar w:fldCharType="separate"/>
      </w:r>
      <w:r>
        <w:fldChar w:fldCharType="begin"/>
      </w:r>
      <w:r>
        <w:instrText xml:space="preserve"> HYPERLINK \l "_Toc42065610" </w:instrText>
      </w:r>
      <w:r>
        <w:fldChar w:fldCharType="separate"/>
      </w:r>
      <w:r>
        <w:rPr>
          <w:rStyle w:val="17"/>
          <w:rFonts w:eastAsia="Microsoft YaHei UI"/>
        </w:rPr>
        <w:t>一、卡内基•梅隆大学2025战略规划制定过程</w:t>
      </w:r>
      <w:r>
        <w:tab/>
      </w:r>
      <w:r>
        <w:fldChar w:fldCharType="begin"/>
      </w:r>
      <w:r>
        <w:instrText xml:space="preserve"> PAGEREF _Toc42065610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9"/>
        <w:ind w:left="199" w:leftChars="95" w:firstLine="198" w:firstLineChars="66"/>
        <w:rPr>
          <w:rFonts w:eastAsiaTheme="minorEastAsia"/>
          <w:sz w:val="21"/>
        </w:rPr>
      </w:pPr>
      <w:r>
        <w:fldChar w:fldCharType="begin"/>
      </w:r>
      <w:r>
        <w:instrText xml:space="preserve"> HYPERLINK \l "_Toc42065611" </w:instrText>
      </w:r>
      <w:r>
        <w:fldChar w:fldCharType="separate"/>
      </w:r>
      <w:r>
        <w:rPr>
          <w:rStyle w:val="17"/>
          <w:rFonts w:eastAsia="Microsoft YaHei UI"/>
        </w:rPr>
        <w:t>二、卡内基•梅隆大学2025战略规划制定机构</w:t>
      </w:r>
      <w:r>
        <w:tab/>
      </w:r>
      <w:r>
        <w:fldChar w:fldCharType="begin"/>
      </w:r>
      <w:r>
        <w:instrText xml:space="preserve"> PAGEREF _Toc42065611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9"/>
        <w:ind w:left="199" w:leftChars="95" w:firstLine="198" w:firstLineChars="66"/>
        <w:rPr>
          <w:rFonts w:eastAsiaTheme="minorEastAsia"/>
          <w:sz w:val="21"/>
        </w:rPr>
      </w:pPr>
      <w:r>
        <w:fldChar w:fldCharType="begin"/>
      </w:r>
      <w:r>
        <w:instrText xml:space="preserve"> HYPERLINK \l "_Toc42065612" </w:instrText>
      </w:r>
      <w:r>
        <w:fldChar w:fldCharType="separate"/>
      </w:r>
      <w:r>
        <w:rPr>
          <w:rStyle w:val="17"/>
          <w:rFonts w:eastAsia="Microsoft YaHei UI"/>
        </w:rPr>
        <w:t>三、卡内基•梅隆大学2025战略目标和策略确定过程</w:t>
      </w:r>
      <w:r>
        <w:tab/>
      </w:r>
      <w:r>
        <w:fldChar w:fldCharType="begin"/>
      </w:r>
      <w:r>
        <w:instrText xml:space="preserve"> PAGEREF _Toc42065612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9"/>
        <w:ind w:left="199" w:leftChars="95" w:firstLine="198" w:firstLineChars="66"/>
        <w:rPr>
          <w:rFonts w:eastAsiaTheme="minorEastAsia"/>
          <w:sz w:val="21"/>
        </w:rPr>
      </w:pPr>
      <w:r>
        <w:fldChar w:fldCharType="begin"/>
      </w:r>
      <w:r>
        <w:instrText xml:space="preserve"> HYPERLINK \l "_Toc42065613" </w:instrText>
      </w:r>
      <w:r>
        <w:fldChar w:fldCharType="separate"/>
      </w:r>
      <w:r>
        <w:rPr>
          <w:rStyle w:val="17"/>
          <w:rFonts w:eastAsia="Microsoft YaHei UI"/>
        </w:rPr>
        <w:t>四、卡内基•梅隆大学2025战略规划特点</w:t>
      </w:r>
      <w:r>
        <w:tab/>
      </w:r>
      <w:r>
        <w:fldChar w:fldCharType="begin"/>
      </w:r>
      <w:r>
        <w:instrText xml:space="preserve"> PAGEREF _Toc42065613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9"/>
        <w:ind w:left="199" w:leftChars="95" w:firstLine="198" w:firstLineChars="66"/>
        <w:rPr>
          <w:rFonts w:eastAsiaTheme="minorEastAsia"/>
          <w:sz w:val="21"/>
        </w:rPr>
      </w:pPr>
      <w:r>
        <w:fldChar w:fldCharType="begin"/>
      </w:r>
      <w:r>
        <w:instrText xml:space="preserve"> HYPERLINK \l "_Toc42065614" </w:instrText>
      </w:r>
      <w:r>
        <w:fldChar w:fldCharType="separate"/>
      </w:r>
      <w:r>
        <w:rPr>
          <w:rStyle w:val="17"/>
          <w:rFonts w:eastAsia="Microsoft YaHei UI"/>
        </w:rPr>
        <w:t>五、卡内基•梅隆大学2025战略规划启示</w:t>
      </w:r>
      <w:r>
        <w:tab/>
      </w:r>
      <w:r>
        <w:fldChar w:fldCharType="begin"/>
      </w:r>
      <w:r>
        <w:instrText xml:space="preserve"> PAGEREF _Toc42065614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22"/>
        <w:tabs>
          <w:tab w:val="left" w:pos="2177"/>
        </w:tabs>
        <w:spacing w:line="300" w:lineRule="auto"/>
        <w:ind w:left="420" w:firstLine="0" w:firstLineChars="0"/>
        <w:jc w:val="left"/>
        <w:rPr>
          <w:rFonts w:ascii="楷体" w:hAnsi="楷体" w:eastAsia="楷体"/>
          <w:color w:val="000000" w:themeColor="text1"/>
          <w:sz w:val="40"/>
          <w:szCs w:val="28"/>
        </w:rPr>
      </w:pPr>
      <w:r>
        <w:rPr>
          <w:rFonts w:ascii="楷体" w:hAnsi="楷体" w:eastAsia="楷体"/>
          <w:color w:val="000000" w:themeColor="text1"/>
          <w:sz w:val="40"/>
          <w:szCs w:val="28"/>
        </w:rPr>
        <w:fldChar w:fldCharType="end"/>
      </w:r>
    </w:p>
    <w:p>
      <w:pPr>
        <w:pStyle w:val="22"/>
        <w:tabs>
          <w:tab w:val="left" w:pos="2177"/>
        </w:tabs>
        <w:spacing w:line="300" w:lineRule="auto"/>
        <w:ind w:left="420" w:firstLine="0" w:firstLineChars="0"/>
        <w:jc w:val="center"/>
        <w:rPr>
          <w:rFonts w:ascii="华文中宋" w:hAnsi="华文中宋" w:eastAsia="华文中宋"/>
          <w:color w:val="000000" w:themeColor="text1"/>
          <w:sz w:val="40"/>
          <w:szCs w:val="28"/>
        </w:rPr>
      </w:pPr>
      <w:r>
        <w:rPr>
          <w:rFonts w:ascii="华文中宋" w:hAnsi="华文中宋" w:eastAsia="华文中宋"/>
          <w:color w:val="000000" w:themeColor="text1"/>
          <w:sz w:val="40"/>
          <w:szCs w:val="28"/>
        </w:rPr>
        <w:pict>
          <v:roundrect id="AutoShape 4" o:spid="_x0000_s1042" o:spt="2" style="position:absolute;left:0pt;margin-left:3.45pt;margin-top:10.05pt;height:305.8pt;width:424.5pt;mso-position-horizontal-relative:margin;z-index:251665408;mso-width-relative:margin;mso-height-relative:margin;" fillcolor="#FFFFFF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">
            <v:path/>
            <v:fill on="t" color2="#FFFFFF" focussize="0,0"/>
            <v:stroke weight="5pt" color="#0070C0" linestyle="thickThin"/>
            <v:imagedata o:title=""/>
            <o:lock v:ext="edit" aspectratio="f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 w:eastAsia="微软雅黑"/>
                      <w:color w:val="000000"/>
                      <w:sz w:val="28"/>
                    </w:rPr>
                  </w:pPr>
                  <w:r>
                    <w:rPr>
                      <w:rFonts w:ascii="黑体" w:hAnsi="黑体" w:eastAsia="黑体"/>
                      <w:b/>
                      <w:color w:val="000000"/>
                      <w:sz w:val="32"/>
                    </w:rPr>
                    <w:t>编者的话</w:t>
                  </w:r>
                  <w:r>
                    <w:rPr>
                      <w:rFonts w:ascii="黑体" w:hAnsi="黑体" w:eastAsia="黑体"/>
                      <w:color w:val="000000"/>
                      <w:sz w:val="32"/>
                    </w:rPr>
                    <w:t>：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</w:rPr>
                    <w:t>战略规划是大学促进自身发展的一种管理方式，全球著名的研究型大学——卡内基·梅隆大学是大学战略规划的成功典范。</w:t>
                  </w:r>
                  <w:r>
                    <w:rPr>
                      <w:rFonts w:ascii="微软雅黑" w:hAnsi="微软雅黑" w:eastAsia="微软雅黑"/>
                      <w:color w:val="000000"/>
                      <w:sz w:val="28"/>
                    </w:rPr>
                    <w:t>CMU从一个技术学校发展成为一个技术学院，最后又蜕变为世界著名的研究型大学，战略规划管理功不可没。前校长科亨就直言不讳地说，“CMU从一所名不见经传的二流大学完成向世界著名大学的转变，应归功于其卓越的战略规划”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</w:rPr>
                    <w:t>。</w:t>
                  </w:r>
                  <w:r>
                    <w:rPr>
                      <w:rFonts w:ascii="微软雅黑" w:hAnsi="微软雅黑" w:eastAsia="微软雅黑"/>
                      <w:color w:val="000000"/>
                      <w:sz w:val="28"/>
                    </w:rPr>
                    <w:t>本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</w:rPr>
                    <w:t>期主要卡内基·梅隆大学2025战略</w:t>
                  </w:r>
                  <w:r>
                    <w:rPr>
                      <w:rFonts w:ascii="微软雅黑" w:hAnsi="微软雅黑" w:eastAsia="微软雅黑"/>
                      <w:color w:val="000000"/>
                      <w:sz w:val="28"/>
                    </w:rPr>
                    <w:t>规划制定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</w:rPr>
                    <w:t>的</w:t>
                  </w:r>
                  <w:r>
                    <w:rPr>
                      <w:rFonts w:ascii="微软雅黑" w:hAnsi="微软雅黑" w:eastAsia="微软雅黑"/>
                      <w:color w:val="000000"/>
                      <w:sz w:val="28"/>
                    </w:rPr>
                    <w:t>相关内容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</w:rPr>
                    <w:t>为</w:t>
                  </w:r>
                  <w:r>
                    <w:rPr>
                      <w:rFonts w:ascii="微软雅黑" w:hAnsi="微软雅黑" w:eastAsia="微软雅黑"/>
                      <w:color w:val="000000"/>
                      <w:sz w:val="28"/>
                    </w:rPr>
                    <w:t>学校“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</w:rPr>
                    <w:t>十四五</w:t>
                  </w:r>
                  <w:r>
                    <w:rPr>
                      <w:rFonts w:ascii="微软雅黑" w:hAnsi="微软雅黑" w:eastAsia="微软雅黑"/>
                      <w:color w:val="000000"/>
                      <w:sz w:val="28"/>
                    </w:rPr>
                    <w:t>”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</w:rPr>
                    <w:t>发展</w:t>
                  </w:r>
                  <w:r>
                    <w:rPr>
                      <w:rFonts w:ascii="微软雅黑" w:hAnsi="微软雅黑" w:eastAsia="微软雅黑"/>
                      <w:color w:val="000000"/>
                      <w:sz w:val="28"/>
                    </w:rPr>
                    <w:t>规划提供借鉴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</w:rPr>
                    <w:t>，</w:t>
                  </w:r>
                  <w:r>
                    <w:rPr>
                      <w:rFonts w:ascii="微软雅黑" w:hAnsi="微软雅黑" w:eastAsia="微软雅黑"/>
                      <w:color w:val="000000"/>
                      <w:sz w:val="28"/>
                    </w:rPr>
                    <w:t>供参阅。</w:t>
                  </w:r>
                </w:p>
                <w:p>
                  <w:pPr>
                    <w:adjustRightInd w:val="0"/>
                    <w:snapToGrid w:val="0"/>
                    <w:rPr>
                      <w:rFonts w:ascii="微软雅黑" w:hAnsi="微软雅黑" w:eastAsia="微软雅黑"/>
                      <w:color w:val="000000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  <w:lang w:eastAsia="zh-CN"/>
                    </w:rPr>
                    <w:t>本期内容参考了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</w:rPr>
                    <w:t>中国农业大学图书馆情报研究中心张红伟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  <w:lang w:eastAsia="zh-CN"/>
                    </w:rPr>
                    <w:t>《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</w:rPr>
                    <w:t>卡内基•梅隆大学面向 2025 年战略规划的制定及启示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sz w:val="28"/>
                      <w:lang w:eastAsia="zh-CN"/>
                    </w:rPr>
                    <w:t>》，在此表示感谢。</w:t>
                  </w:r>
                </w:p>
              </w:txbxContent>
            </v:textbox>
          </v:roundrect>
        </w:pict>
      </w:r>
    </w:p>
    <w:p>
      <w:pPr>
        <w:pStyle w:val="22"/>
        <w:tabs>
          <w:tab w:val="left" w:pos="2177"/>
        </w:tabs>
        <w:spacing w:line="300" w:lineRule="auto"/>
        <w:ind w:left="420" w:firstLine="0" w:firstLineChars="0"/>
        <w:jc w:val="center"/>
        <w:rPr>
          <w:rFonts w:ascii="华文中宋" w:hAnsi="华文中宋" w:eastAsia="华文中宋"/>
          <w:color w:val="000000" w:themeColor="text1"/>
          <w:sz w:val="40"/>
          <w:szCs w:val="28"/>
        </w:rPr>
      </w:pPr>
    </w:p>
    <w:p>
      <w:pPr>
        <w:pStyle w:val="22"/>
        <w:tabs>
          <w:tab w:val="left" w:pos="2177"/>
        </w:tabs>
        <w:spacing w:line="300" w:lineRule="auto"/>
        <w:ind w:left="420" w:firstLine="0" w:firstLineChars="0"/>
        <w:jc w:val="center"/>
        <w:rPr>
          <w:rFonts w:ascii="华文中宋" w:hAnsi="华文中宋" w:eastAsia="华文中宋"/>
          <w:color w:val="000000" w:themeColor="text1"/>
          <w:sz w:val="40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0"/>
        <w:spacing w:before="156" w:after="156"/>
        <w:rPr>
          <w:rFonts w:eastAsia="Microsoft YaHei UI"/>
        </w:rPr>
      </w:pPr>
      <w:bookmarkStart w:id="0" w:name="_Toc42065610"/>
      <w:r>
        <w:pict>
          <v:shape id="_x0000_s1031" o:spid="_x0000_s1031" o:spt="202" type="#_x0000_t202" style="position:absolute;left:0pt;margin-left:495.05pt;margin-top:461.2pt;height:38.4pt;width:102.05pt;mso-position-horizontal-relative:page;z-index:25164492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">
            <v:path arrowok="t"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spacing w:before="0" w:beforeAutospacing="0" w:after="0" w:afterAutospacing="0" w:line="312" w:lineRule="auto"/>
                    <w:rPr>
                      <w:sz w:val="36"/>
                    </w:rPr>
                  </w:pPr>
                </w:p>
              </w:txbxContent>
            </v:textbox>
          </v:shape>
        </w:pict>
      </w:r>
      <w:r>
        <w:rPr>
          <w:rFonts w:hint="eastAsia" w:eastAsia="Microsoft YaHei UI"/>
        </w:rPr>
        <w:t>一</w:t>
      </w:r>
      <w:r>
        <w:rPr>
          <w:rFonts w:eastAsia="Microsoft YaHei UI"/>
        </w:rPr>
        <w:t>、</w:t>
      </w:r>
      <w:r>
        <w:rPr>
          <w:rFonts w:hint="eastAsia" w:eastAsia="Microsoft YaHei UI"/>
        </w:rPr>
        <w:t>卡内基•梅隆大学</w:t>
      </w:r>
      <w:r>
        <w:rPr>
          <w:rFonts w:eastAsia="Microsoft YaHei UI"/>
        </w:rPr>
        <w:t>2025战略规划制定过程</w:t>
      </w:r>
      <w:bookmarkEnd w:id="0"/>
    </w:p>
    <w:p>
      <w:pPr>
        <w:ind w:firstLine="560" w:firstLineChars="200"/>
        <w:rPr>
          <w:rFonts w:ascii="微软雅黑" w:hAnsi="微软雅黑" w:eastAsia="微软雅黑"/>
          <w:b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/>
          <w:b/>
          <w:sz w:val="28"/>
          <w:szCs w:val="28"/>
          <w:shd w:val="clear" w:color="auto" w:fill="FFFFFF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-65405</wp:posOffset>
            </wp:positionH>
            <wp:positionV relativeFrom="paragraph">
              <wp:posOffset>3665220</wp:posOffset>
            </wp:positionV>
            <wp:extent cx="5607050" cy="2656840"/>
            <wp:effectExtent l="0" t="0" r="0" b="0"/>
            <wp:wrapTight wrapText="bothSides">
              <wp:wrapPolygon>
                <wp:start x="0" y="0"/>
                <wp:lineTo x="0" y="21373"/>
                <wp:lineTo x="21502" y="21373"/>
                <wp:lineTo x="21502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46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26568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sz w:val="28"/>
          <w:szCs w:val="28"/>
          <w:shd w:val="clear" w:color="auto" w:fill="FFFFFF"/>
        </w:rPr>
        <w:t>卡内基•梅隆大学</w:t>
      </w:r>
      <w:r>
        <w:rPr>
          <w:rFonts w:ascii="微软雅黑" w:hAnsi="微软雅黑" w:eastAsia="微软雅黑"/>
          <w:sz w:val="28"/>
          <w:szCs w:val="28"/>
          <w:shd w:val="clear" w:color="auto" w:fill="FFFFFF"/>
        </w:rPr>
        <w:t>战略规划的制定，前后分为三个阶段：（1）动员开始阶段；</w:t>
      </w:r>
      <w:r>
        <w:rPr>
          <w:rFonts w:hint="eastAsia" w:ascii="微软雅黑" w:hAnsi="微软雅黑" w:eastAsia="微软雅黑"/>
          <w:sz w:val="28"/>
          <w:szCs w:val="28"/>
          <w:shd w:val="clear" w:color="auto" w:fill="FFFFFF"/>
        </w:rPr>
        <w:t>（2）</w:t>
      </w:r>
      <w:r>
        <w:rPr>
          <w:rFonts w:ascii="微软雅黑" w:hAnsi="微软雅黑" w:eastAsia="微软雅黑"/>
          <w:sz w:val="28"/>
          <w:szCs w:val="28"/>
          <w:shd w:val="clear" w:color="auto" w:fill="FFFFFF"/>
        </w:rPr>
        <w:t>会议讨论阶段；（3）完善发布阶段。 2014 年 10 月 16 日,校长进行全员动员，宣布启动 CMU 战略规划的制定程序。随后</w:t>
      </w:r>
      <w:r>
        <w:rPr>
          <w:rFonts w:hint="eastAsia" w:ascii="微软雅黑" w:hAnsi="微软雅黑" w:eastAsia="微软雅黑"/>
          <w:sz w:val="28"/>
          <w:szCs w:val="28"/>
          <w:shd w:val="clear" w:color="auto" w:fill="FFFFFF"/>
        </w:rPr>
        <w:t>是</w:t>
      </w:r>
      <w:r>
        <w:rPr>
          <w:rFonts w:ascii="微软雅黑" w:hAnsi="微软雅黑" w:eastAsia="微软雅黑"/>
          <w:sz w:val="28"/>
          <w:szCs w:val="28"/>
          <w:shd w:val="clear" w:color="auto" w:fill="FFFFFF"/>
        </w:rPr>
        <w:t>持续约半年</w:t>
      </w:r>
      <w:r>
        <w:rPr>
          <w:rFonts w:hint="eastAsia" w:ascii="微软雅黑" w:hAnsi="微软雅黑" w:eastAsia="微软雅黑"/>
          <w:sz w:val="28"/>
          <w:szCs w:val="28"/>
          <w:shd w:val="clear" w:color="auto" w:fill="FFFFFF"/>
        </w:rPr>
        <w:t>的</w:t>
      </w:r>
      <w:r>
        <w:rPr>
          <w:rFonts w:ascii="微软雅黑" w:hAnsi="微软雅黑" w:eastAsia="微软雅黑"/>
          <w:sz w:val="28"/>
          <w:szCs w:val="28"/>
          <w:shd w:val="clear" w:color="auto" w:fill="FFFFFF"/>
        </w:rPr>
        <w:t>会议讨论，召开的重要会议有： 3 次面向全校的大型会议， 9 次教学、研究创新、多样性、国际化战略等专题会议， 2 次学术领导委员会会议（Academic Leadership Council）， 2 次董事会会议（Board of Trustees）。</w:t>
      </w:r>
      <w:r>
        <w:rPr>
          <w:rFonts w:hint="eastAsia" w:ascii="微软雅黑" w:hAnsi="微软雅黑" w:eastAsia="微软雅黑"/>
          <w:sz w:val="28"/>
          <w:szCs w:val="28"/>
          <w:shd w:val="clear" w:color="auto" w:fill="FFFFFF"/>
        </w:rPr>
        <w:t>这些会议是自下而上达成共识的过程，更是凝聚人心的有效方法</w:t>
      </w:r>
      <w:r>
        <w:rPr>
          <w:rFonts w:ascii="微软雅黑" w:hAnsi="微软雅黑" w:eastAsia="微软雅黑"/>
          <w:sz w:val="28"/>
          <w:szCs w:val="28"/>
          <w:shd w:val="clear" w:color="auto" w:fill="FFFFFF"/>
        </w:rPr>
        <w:t xml:space="preserve"> </w:t>
      </w:r>
      <w:r>
        <w:rPr>
          <w:rFonts w:hint="eastAsia" w:ascii="微软雅黑" w:hAnsi="微软雅黑" w:eastAsia="微软雅黑"/>
          <w:sz w:val="28"/>
          <w:szCs w:val="28"/>
          <w:shd w:val="clear" w:color="auto" w:fill="FFFFFF"/>
        </w:rPr>
        <w:t>。</w:t>
      </w:r>
    </w:p>
    <w:p>
      <w:pPr>
        <w:jc w:val="center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 xml:space="preserve">图1 </w:t>
      </w:r>
      <w:r>
        <w:rPr>
          <w:rFonts w:ascii="微软雅黑" w:hAnsi="微软雅黑" w:eastAsia="微软雅黑"/>
          <w:sz w:val="28"/>
          <w:szCs w:val="28"/>
        </w:rPr>
        <w:t>.CMU</w:t>
      </w:r>
      <w:r>
        <w:rPr>
          <w:rFonts w:hint="eastAsia" w:ascii="微软雅黑" w:hAnsi="微软雅黑" w:eastAsia="微软雅黑"/>
          <w:sz w:val="28"/>
          <w:szCs w:val="28"/>
        </w:rPr>
        <w:t>战略</w:t>
      </w:r>
      <w:r>
        <w:rPr>
          <w:rFonts w:ascii="微软雅黑" w:hAnsi="微软雅黑" w:eastAsia="微软雅黑"/>
          <w:sz w:val="28"/>
          <w:szCs w:val="28"/>
        </w:rPr>
        <w:t>规划制定过程</w:t>
      </w:r>
    </w:p>
    <w:p/>
    <w:p/>
    <w:p/>
    <w:p>
      <w:p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bookmarkStart w:id="5" w:name="_GoBack"/>
      <w:bookmarkEnd w:id="5"/>
    </w:p>
    <w:p>
      <w:pPr>
        <w:pStyle w:val="40"/>
        <w:spacing w:before="156" w:after="156"/>
        <w:rPr>
          <w:rFonts w:eastAsia="Microsoft YaHei UI"/>
        </w:rPr>
      </w:pPr>
      <w:bookmarkStart w:id="1" w:name="_Toc42065611"/>
      <w:r>
        <w:rPr>
          <w:rFonts w:hint="eastAsia" w:eastAsia="Microsoft YaHei UI"/>
        </w:rPr>
        <w:t>二</w:t>
      </w:r>
      <w:r>
        <w:rPr>
          <w:rFonts w:eastAsia="Microsoft YaHei UI"/>
        </w:rPr>
        <w:t>、</w:t>
      </w:r>
      <w:r>
        <w:rPr>
          <w:rFonts w:hint="eastAsia" w:eastAsia="Microsoft YaHei UI"/>
        </w:rPr>
        <w:t>卡内基•梅隆大学</w:t>
      </w:r>
      <w:r>
        <w:rPr>
          <w:rFonts w:eastAsia="Microsoft YaHei UI"/>
        </w:rPr>
        <w:t>2025战略规划制定机构</w:t>
      </w:r>
      <w:bookmarkEnd w:id="1"/>
    </w:p>
    <w:p>
      <w:pPr>
        <w:adjustRightInd w:val="0"/>
        <w:snapToGrid w:val="0"/>
        <w:spacing w:line="300" w:lineRule="auto"/>
        <w:ind w:firstLine="420" w:firstLineChars="200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4210050</wp:posOffset>
            </wp:positionV>
            <wp:extent cx="5274310" cy="3331210"/>
            <wp:effectExtent l="0" t="0" r="0" b="0"/>
            <wp:wrapTight wrapText="bothSides">
              <wp:wrapPolygon>
                <wp:start x="0" y="0"/>
                <wp:lineTo x="0" y="21493"/>
                <wp:lineTo x="21532" y="21493"/>
                <wp:lineTo x="21532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CMU战略规划委员会下设了“</w:t>
      </w:r>
      <w:r>
        <w:rPr>
          <w:rFonts w:ascii="黑体" w:hAnsi="黑体" w:eastAsia="黑体"/>
          <w:b/>
          <w:color w:val="000000" w:themeColor="text1"/>
          <w:sz w:val="28"/>
          <w:szCs w:val="30"/>
          <w:shd w:val="clear" w:color="auto" w:fill="FFFFFF"/>
        </w:rPr>
        <w:t>核心领域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、</w:t>
      </w:r>
      <w:r>
        <w:rPr>
          <w:rFonts w:ascii="黑体" w:hAnsi="黑体" w:eastAsia="黑体"/>
          <w:b/>
          <w:color w:val="000000" w:themeColor="text1"/>
          <w:sz w:val="28"/>
          <w:szCs w:val="30"/>
          <w:shd w:val="clear" w:color="auto" w:fill="FFFFFF"/>
        </w:rPr>
        <w:t>交叉主题</w:t>
      </w:r>
      <w:r>
        <w:rPr>
          <w:rFonts w:hint="eastAsia" w:ascii="黑体" w:hAnsi="黑体" w:eastAsia="黑体"/>
          <w:b/>
          <w:color w:val="000000" w:themeColor="text1"/>
          <w:sz w:val="28"/>
          <w:szCs w:val="30"/>
          <w:shd w:val="clear" w:color="auto" w:fill="FFFFFF"/>
        </w:rPr>
        <w:t>和</w:t>
      </w:r>
      <w:r>
        <w:rPr>
          <w:rFonts w:ascii="黑体" w:hAnsi="黑体" w:eastAsia="黑体"/>
          <w:b/>
          <w:color w:val="000000" w:themeColor="text1"/>
          <w:sz w:val="28"/>
          <w:szCs w:val="30"/>
          <w:shd w:val="clear" w:color="auto" w:fill="FFFFFF"/>
        </w:rPr>
        <w:t>战略规划工作组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”三个二级机构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，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如图2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所示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。核心领域与交叉主题下又设置了分委员会。核心领域下有：教学改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革、研究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/创造/创新/创业革、CMU经验转型等分委员会；交叉主题下有：多元与包容、国际化战略和政策等分委员会。为了更全面地收集信息和数据，CMU经验转型机构下又设立了包括教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师、职工、校友、本科生、硕士生、博士生及家长等不同利益相关群体的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7个工作小组。通过CMU战略规划委员会的组织架构可以看出，CMU希望各利益相关群体都能参与到战略规划的制定中来，为学校的战略决策贡献力量。</w:t>
      </w:r>
    </w:p>
    <w:p>
      <w:pPr>
        <w:adjustRightInd w:val="0"/>
        <w:snapToGrid w:val="0"/>
        <w:spacing w:line="300" w:lineRule="auto"/>
        <w:ind w:firstLine="560" w:firstLineChars="200"/>
        <w:jc w:val="center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图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2.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 xml:space="preserve"> CMU战略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规划委员会</w:t>
      </w:r>
    </w:p>
    <w:p>
      <w:pPr>
        <w:pStyle w:val="40"/>
        <w:spacing w:before="156" w:after="156"/>
        <w:rPr>
          <w:rFonts w:eastAsia="Microsoft YaHei UI"/>
        </w:rPr>
      </w:pPr>
      <w:bookmarkStart w:id="2" w:name="_Toc42065612"/>
      <w:r>
        <w:rPr>
          <w:rFonts w:hint="eastAsia" w:eastAsia="Microsoft YaHei UI"/>
        </w:rPr>
        <w:t>三、卡内基•梅隆大学</w:t>
      </w:r>
      <w:r>
        <w:rPr>
          <w:rFonts w:eastAsia="Microsoft YaHei UI"/>
        </w:rPr>
        <w:t>2025战略</w:t>
      </w:r>
      <w:r>
        <w:rPr>
          <w:rFonts w:hint="eastAsia" w:eastAsia="Microsoft YaHei UI"/>
        </w:rPr>
        <w:t>目标和</w:t>
      </w:r>
      <w:r>
        <w:rPr>
          <w:rFonts w:eastAsia="Microsoft YaHei UI"/>
        </w:rPr>
        <w:t>策略</w:t>
      </w:r>
      <w:r>
        <w:rPr>
          <w:rFonts w:hint="eastAsia" w:eastAsia="Microsoft YaHei UI"/>
        </w:rPr>
        <w:t>确定</w:t>
      </w:r>
      <w:r>
        <w:rPr>
          <w:rFonts w:eastAsia="Microsoft YaHei UI"/>
        </w:rPr>
        <w:t>过程</w:t>
      </w:r>
      <w:bookmarkEnd w:id="2"/>
    </w:p>
    <w:p>
      <w:pPr>
        <w:adjustRightInd w:val="0"/>
        <w:snapToGrid w:val="0"/>
        <w:spacing w:line="300" w:lineRule="auto"/>
        <w:ind w:firstLine="560" w:firstLineChars="200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CMU“战略规划2025”中战略目标和策略的确定不是</w:t>
      </w:r>
      <w:r>
        <w:rPr>
          <w:rFonts w:ascii="黑体" w:hAnsi="黑体" w:eastAsia="黑体"/>
          <w:b/>
          <w:color w:val="000000" w:themeColor="text1"/>
          <w:sz w:val="28"/>
          <w:szCs w:val="30"/>
          <w:shd w:val="clear" w:color="auto" w:fill="FFFFFF"/>
        </w:rPr>
        <w:t>简单的自上而下，更多的是自下而上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。主题小组通过多次讨论会，由专业人员应用专业分析软件进行信息处理和统计分析，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在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工作小组广泛讨论后形成工作报告，提交战略规划委员会和校领导，为其最终确定战略目标和策略提供重要参考。</w:t>
      </w:r>
    </w:p>
    <w:p>
      <w:pPr>
        <w:adjustRightInd w:val="0"/>
        <w:snapToGrid w:val="0"/>
        <w:spacing w:line="300" w:lineRule="auto"/>
        <w:ind w:firstLine="560" w:firstLineChars="200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以教师工作组的工作为例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，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教师工作组由来自教代会的2名代表和CMU经验转型教师工作组的2名成员，以及来自CMU软件工程学院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的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3名技术支持者，共7人组成。工作组又按照7个学院和1个教授群体设立了8个教师主题小组，每个小组由6-12人组成，在考虑教师层级和经历等多样性和包容性条件下，从教代会中抽取，8个小组共69名教师参与。教师工作组自2014年12月进入工作状态，到2015年6月提交工作报告，就相关事宜召开了26次会议，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如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表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1所示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。</w:t>
      </w:r>
    </w:p>
    <w:p>
      <w:pPr>
        <w:adjustRightInd w:val="0"/>
        <w:snapToGrid w:val="0"/>
        <w:spacing w:line="300" w:lineRule="auto"/>
        <w:ind w:firstLine="560" w:firstLineChars="200"/>
        <w:jc w:val="center"/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 xml:space="preserve">表1 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.</w: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教师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工作</w: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组的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工作内容及其</w: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时间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安排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268"/>
        <w:gridCol w:w="444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时间</w:t>
            </w:r>
          </w:p>
        </w:tc>
        <w:tc>
          <w:tcPr>
            <w:tcW w:w="2268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工作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事项</w:t>
            </w:r>
          </w:p>
        </w:tc>
        <w:tc>
          <w:tcPr>
            <w:tcW w:w="4445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具体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2014.12-2015.2</w:t>
            </w:r>
          </w:p>
        </w:tc>
        <w:tc>
          <w:tcPr>
            <w:tcW w:w="2268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制定计划</w:t>
            </w:r>
          </w:p>
        </w:tc>
        <w:tc>
          <w:tcPr>
            <w:tcW w:w="4445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确定小组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成员、制定工作计划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215.2.3</w:t>
            </w:r>
          </w:p>
        </w:tc>
        <w:tc>
          <w:tcPr>
            <w:tcW w:w="2268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召开2015年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教代会</w:t>
            </w:r>
          </w:p>
        </w:tc>
        <w:tc>
          <w:tcPr>
            <w:tcW w:w="4445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讨论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学校</w:t>
            </w: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战略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规划问题</w:t>
            </w: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，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面向全体教师开放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2015.2-2015.5</w:t>
            </w:r>
          </w:p>
        </w:tc>
        <w:tc>
          <w:tcPr>
            <w:tcW w:w="2268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召开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教师主题小组讨论会</w:t>
            </w:r>
          </w:p>
        </w:tc>
        <w:tc>
          <w:tcPr>
            <w:tcW w:w="4445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围绕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战略愿景、战术观点</w:t>
            </w: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和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学校存在的系统性问题</w:t>
            </w: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，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讨论和确定</w:t>
            </w: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1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-3</w:t>
            </w: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个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“</w:t>
            </w: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重要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观点”</w:t>
            </w: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，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同时采用新型处理技术全面收集教师意见和观点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2015.3-2015.6</w:t>
            </w:r>
          </w:p>
        </w:tc>
        <w:tc>
          <w:tcPr>
            <w:tcW w:w="2268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分析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数据、撰写报告</w:t>
            </w:r>
          </w:p>
        </w:tc>
        <w:tc>
          <w:tcPr>
            <w:tcW w:w="4445" w:type="dxa"/>
          </w:tcPr>
          <w:p>
            <w:pPr>
              <w:adjustRightInd w:val="0"/>
              <w:snapToGrid w:val="0"/>
              <w:spacing w:line="300" w:lineRule="auto"/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对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采集的原始信息进行标记，处理以及关注焦点问题的量化分析，</w:t>
            </w:r>
            <w:r>
              <w:rPr>
                <w:rFonts w:hint="eastAsia"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形成</w:t>
            </w:r>
            <w:r>
              <w:rPr>
                <w:rFonts w:ascii="微软雅黑" w:hAnsi="微软雅黑" w:eastAsia="微软雅黑"/>
                <w:color w:val="000000" w:themeColor="text1"/>
                <w:szCs w:val="30"/>
                <w:shd w:val="clear" w:color="auto" w:fill="FFFFFF"/>
              </w:rPr>
              <w:t>战略主题和策略</w:t>
            </w:r>
          </w:p>
        </w:tc>
      </w:tr>
    </w:tbl>
    <w:p>
      <w:pPr>
        <w:adjustRightInd w:val="0"/>
        <w:snapToGrid w:val="0"/>
        <w:spacing w:line="300" w:lineRule="auto"/>
        <w:ind w:firstLine="560" w:firstLineChars="200"/>
        <w:jc w:val="center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</w:pPr>
      <w:r>
        <w:rPr>
          <w:rFonts w:hint="eastAsia" w:ascii="仿宋_GB2312" w:eastAsia="仿宋_GB2312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314325</wp:posOffset>
            </wp:positionV>
            <wp:extent cx="5419090" cy="2705100"/>
            <wp:effectExtent l="0" t="0" r="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51"/>
                    <a:stretch>
                      <a:fillRect/>
                    </a:stretch>
                  </pic:blipFill>
                  <pic:spPr>
                    <a:xfrm>
                      <a:off x="0" y="0"/>
                      <a:ext cx="5419090" cy="2705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图3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.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教师工作组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关注问题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生成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的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战略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主题云图</w:t>
      </w:r>
    </w:p>
    <w:p>
      <w:pPr>
        <w:adjustRightInd w:val="0"/>
        <w:snapToGrid w:val="0"/>
        <w:spacing w:line="300" w:lineRule="auto"/>
        <w:ind w:firstLine="560" w:firstLineChars="200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基于教师工作组广泛的讨论和分析，汇聚生成了“教育、协作、治理、社区、多样性和可持续性”等六个重要主题。重点关注科研和教学的跨学科、课程改革、资金、学生支持、管理中心的作用、区域/国家/全球伙伴关系、透明度和共同治理、研究与实践的平衡、校园空间的有效利用与设计等等问题（图3）。教师工作组提出的战略目标和战术策略反映了CMU教师的愿景和关注事项，不仅仅是CMU战略规划的重要参考信息，也成为教代会未来的议程主题。</w:t>
      </w:r>
    </w:p>
    <w:p>
      <w:pPr>
        <w:adjustRightInd w:val="0"/>
        <w:snapToGrid w:val="0"/>
        <w:spacing w:line="300" w:lineRule="auto"/>
        <w:ind w:firstLine="560" w:firstLineChars="200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通过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教师工作组组织、安排的严谨，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我们能够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看到在收集、分析信息时科学方法的应用，这不仅能保证规划制定工作的顺利进行，也能确保信息和分析结论的可靠，值得我们学习借鉴。</w:t>
      </w:r>
    </w:p>
    <w:p>
      <w:pPr>
        <w:pStyle w:val="40"/>
        <w:spacing w:before="156" w:after="156"/>
        <w:rPr>
          <w:rFonts w:eastAsia="Microsoft YaHei UI"/>
        </w:rPr>
      </w:pPr>
      <w:bookmarkStart w:id="3" w:name="_Toc42065613"/>
      <w:r>
        <w:rPr>
          <w:rFonts w:hint="eastAsia" w:eastAsia="Microsoft YaHei UI"/>
        </w:rPr>
        <w:t>四、卡内基•梅隆大学</w:t>
      </w:r>
      <w:r>
        <w:rPr>
          <w:rFonts w:eastAsia="Microsoft YaHei UI"/>
        </w:rPr>
        <w:t>2025战略</w:t>
      </w:r>
      <w:r>
        <w:rPr>
          <w:rFonts w:hint="eastAsia" w:eastAsia="Microsoft YaHei UI"/>
        </w:rPr>
        <w:t>规划特点</w:t>
      </w:r>
      <w:bookmarkEnd w:id="3"/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（一）注重愿景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、使命和核心价值</w: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一脉相承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CMU“战略规划2025”是在1998和2008年战略规划的基础上制定的，在使命、愿景和核心价值方面保持了很多一致（表2），特别突出帮助学生学会解决问题、人际交往、奉献、包容、同情，改善社会变化等教育性价值。通过凝练大学的价值、使命和愿景，明确大学将要培养什么样的人，为社会做什么样的贡献，努力成为什么样的大学等基本问题，确保大学发展不偏离教育本质，也便于大学成员对大学自身的认同。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</w:pP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</w:pP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300" w:lineRule="auto"/>
        <w:ind w:firstLine="440" w:firstLineChars="200"/>
        <w:jc w:val="center"/>
        <w:rPr>
          <w:rFonts w:ascii="微软雅黑" w:hAnsi="微软雅黑" w:eastAsia="微软雅黑"/>
          <w:b/>
          <w:color w:val="000000" w:themeColor="text1"/>
          <w:sz w:val="22"/>
          <w:szCs w:val="30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  <w:szCs w:val="30"/>
          <w:shd w:val="clear" w:color="auto" w:fill="FFFFFF"/>
        </w:rPr>
        <w:t>表2.</w:t>
      </w:r>
      <w:r>
        <w:rPr>
          <w:b/>
          <w:sz w:val="18"/>
        </w:rPr>
        <w:t xml:space="preserve"> </w:t>
      </w:r>
      <w:r>
        <w:rPr>
          <w:rFonts w:ascii="微软雅黑" w:hAnsi="微软雅黑" w:eastAsia="微软雅黑"/>
          <w:b/>
          <w:color w:val="000000" w:themeColor="text1"/>
          <w:sz w:val="22"/>
          <w:szCs w:val="30"/>
          <w:shd w:val="clear" w:color="auto" w:fill="FFFFFF"/>
        </w:rPr>
        <w:t xml:space="preserve">CMU 在 1998、 2008 </w:t>
      </w:r>
      <w:r>
        <w:rPr>
          <w:rFonts w:hint="eastAsia" w:ascii="微软雅黑" w:hAnsi="微软雅黑" w:eastAsia="微软雅黑"/>
          <w:b/>
          <w:color w:val="000000" w:themeColor="text1"/>
          <w:sz w:val="22"/>
          <w:szCs w:val="30"/>
          <w:shd w:val="clear" w:color="auto" w:fill="FFFFFF"/>
        </w:rPr>
        <w:t>和</w:t>
      </w:r>
      <w:r>
        <w:rPr>
          <w:rFonts w:ascii="微软雅黑" w:hAnsi="微软雅黑" w:eastAsia="微软雅黑"/>
          <w:b/>
          <w:color w:val="000000" w:themeColor="text1"/>
          <w:sz w:val="22"/>
          <w:szCs w:val="30"/>
          <w:shd w:val="clear" w:color="auto" w:fill="FFFFFF"/>
        </w:rPr>
        <w:t>2025战略规划中的愿景、使命和价值陈述</w:t>
      </w:r>
    </w:p>
    <w:tbl>
      <w:tblPr>
        <w:tblStyle w:val="1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5103"/>
        <w:gridCol w:w="3827"/>
        <w:gridCol w:w="442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b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b/>
                <w:color w:val="000000" w:themeColor="text1"/>
                <w:kern w:val="0"/>
                <w:sz w:val="20"/>
                <w:szCs w:val="21"/>
              </w:rPr>
              <w:t>内容</w:t>
            </w:r>
          </w:p>
        </w:tc>
        <w:tc>
          <w:tcPr>
            <w:tcW w:w="180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b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b/>
                <w:color w:val="000000" w:themeColor="text1"/>
                <w:kern w:val="0"/>
                <w:sz w:val="20"/>
                <w:szCs w:val="21"/>
              </w:rPr>
              <w:t>1998年战略规划</w:t>
            </w:r>
          </w:p>
        </w:tc>
        <w:tc>
          <w:tcPr>
            <w:tcW w:w="135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b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b/>
                <w:color w:val="000000" w:themeColor="text1"/>
                <w:kern w:val="0"/>
                <w:sz w:val="20"/>
                <w:szCs w:val="21"/>
              </w:rPr>
              <w:t>2008战略规划</w:t>
            </w:r>
          </w:p>
        </w:tc>
        <w:tc>
          <w:tcPr>
            <w:tcW w:w="1562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b/>
                <w:color w:val="000000" w:themeColor="text1"/>
                <w:kern w:val="0"/>
                <w:sz w:val="20"/>
                <w:szCs w:val="21"/>
              </w:rPr>
              <w:t>2025战略规划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愿景</w:t>
            </w:r>
          </w:p>
        </w:tc>
        <w:tc>
          <w:tcPr>
            <w:tcW w:w="180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CMU 将通过建立以勇于创新、解决问题和强调跨学科合作等传统来满足社会日新月异的需求,从而成为教育机构中的一名领导者</w:t>
            </w:r>
          </w:p>
        </w:tc>
        <w:tc>
          <w:tcPr>
            <w:tcW w:w="135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CMU 将通过建设勇于创新、解决问题和强调跨学科合作等传统来满足社会日新月异的需求。</w:t>
            </w:r>
          </w:p>
        </w:tc>
        <w:tc>
          <w:tcPr>
            <w:tcW w:w="1562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CMU 将通过在教育、科研、创意、创业方面的持续创新对社会产生革命性的影响。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" w:type="pct"/>
            <w:vMerge w:val="restar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使命</w:t>
            </w:r>
          </w:p>
        </w:tc>
        <w:tc>
          <w:tcPr>
            <w:tcW w:w="180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1.通过研究、艺术表达和教学来创造和传播知识与艺术；为社会提供智慧产品</w:t>
            </w:r>
          </w:p>
        </w:tc>
        <w:tc>
          <w:tcPr>
            <w:tcW w:w="135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1.通过研究、创新需求和教学来创造和传播知识与艺术；以有意义和可持续的方式提供智慧和艺术产品来贡献社会</w:t>
            </w:r>
          </w:p>
        </w:tc>
        <w:tc>
          <w:tcPr>
            <w:tcW w:w="1562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1.为学生提供变革性的教育经验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288" w:type="pct"/>
            <w:vMerge w:val="continue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80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2.通过教会学生解决问题、具备领导力、团队协作的技巧、追求质量、遵从道德、彼此尊重来服务学生</w:t>
            </w:r>
          </w:p>
        </w:tc>
        <w:tc>
          <w:tcPr>
            <w:tcW w:w="135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2.通过教会学生解决问题、具备领导力、团队协作的技巧、追求质量、遵从道德、彼此尊重来服务学生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562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2.培育一个变革性的大学社区，承诺（1）吸引和留住多样化的世界一流人才；（2）营造一种自由交流的协作环境促进研究、创新、革新和创业蓬勃发展；（3）确保个人能够充分发挥潜力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" w:type="pct"/>
            <w:vMerge w:val="continue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180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3.以提供多元化、相对小规模的教学社区为优势，方便意识交流，使 CMU 成为发现、创新、个性和职业发展的沃土</w:t>
            </w:r>
          </w:p>
        </w:tc>
        <w:tc>
          <w:tcPr>
            <w:tcW w:w="135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3.通过多元化、较小规模教学社区带来的优势，促进开放的思想交流,使得发现、创新和个性和发展在 CMU 能够蓬勃向上</w:t>
            </w:r>
          </w:p>
        </w:tc>
        <w:tc>
          <w:tcPr>
            <w:tcW w:w="1562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3.与校园外的合作伙伴一起，以一种变革性的方式影响地区、国际乃至世界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</w:trPr>
        <w:tc>
          <w:tcPr>
            <w:tcW w:w="288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价值</w:t>
            </w:r>
          </w:p>
        </w:tc>
        <w:tc>
          <w:tcPr>
            <w:tcW w:w="180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1.以创业型教师队伍和能够预测风险的学校体系为基础，支持创新求变的传统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2.在所有院系和学科中都能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体现出的解决问题理念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3.在跨学科研究方面的非凡成就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4.相对小的规模使 CMU 能够对新机会做出积极的反应</w:t>
            </w:r>
          </w:p>
        </w:tc>
        <w:tc>
          <w:tcPr>
            <w:tcW w:w="1350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1.奉献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2.协作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3.以影响力衡量优秀程度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4.创业精神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5.深度驱动广度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6.同情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7.诚信和包容</w:t>
            </w:r>
          </w:p>
        </w:tc>
        <w:tc>
          <w:tcPr>
            <w:tcW w:w="1562" w:type="pct"/>
            <w:vAlign w:val="center"/>
          </w:tcPr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1.奉献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2.影响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3.协作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4.创新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5.同情和仁慈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6.包容性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7.诚信</w:t>
            </w:r>
          </w:p>
          <w:p>
            <w:pPr>
              <w:adjustRightInd w:val="0"/>
              <w:snapToGrid w:val="0"/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Style w:val="19"/>
                <w:rFonts w:hint="default" w:ascii="微软雅黑" w:hAnsi="微软雅黑" w:eastAsia="微软雅黑" w:cs="Times New Roman"/>
                <w:color w:val="000000" w:themeColor="text1"/>
                <w:kern w:val="0"/>
                <w:sz w:val="20"/>
                <w:szCs w:val="21"/>
              </w:rPr>
              <w:t>8.可持续发展</w:t>
            </w:r>
          </w:p>
        </w:tc>
      </w:tr>
    </w:tbl>
    <w:p>
      <w:pPr>
        <w:adjustRightInd w:val="0"/>
        <w:snapToGrid w:val="0"/>
        <w:spacing w:line="300" w:lineRule="auto"/>
        <w:jc w:val="left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300" w:lineRule="auto"/>
        <w:jc w:val="left"/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</w:pP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（二）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 xml:space="preserve">文本内容简洁明了，重点突出 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hint="eastAsia" w:ascii="仿宋_GB2312" w:eastAsia="仿宋_GB2312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2016760</wp:posOffset>
            </wp:positionV>
            <wp:extent cx="5196840" cy="3267075"/>
            <wp:effectExtent l="0" t="0" r="0" b="0"/>
            <wp:wrapTight wrapText="bothSides">
              <wp:wrapPolygon>
                <wp:start x="0" y="0"/>
                <wp:lineTo x="0" y="21411"/>
                <wp:lineTo x="21537" y="21411"/>
                <wp:lineTo x="21537" y="0"/>
                <wp:lineTo x="0" y="0"/>
              </wp:wrapPolygon>
            </wp:wrapTight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08"/>
                    <a:stretch>
                      <a:fillRect/>
                    </a:stretch>
                  </pic:blipFill>
                  <pic:spPr>
                    <a:xfrm>
                      <a:off x="0" y="0"/>
                      <a:ext cx="5196972" cy="32670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000000" w:themeColor="text1"/>
          <w:sz w:val="28"/>
          <w:shd w:val="clear" w:color="auto" w:fill="FFFFFF"/>
        </w:rPr>
        <w:t>CMU的1998、2008年战略规划和“战略规划2025”的文本基本都是由愿景、使命、价值、目标和策略等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几部分组成，层层推进，越来越具体。每一项具体的目标都由若干具体的策略来支撑，最多的有16项策略，最少的也有6项（图4），每项策略下还有具体措施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，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并且措施并不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是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局限于某一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方面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而是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涵盖为了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实现目标的所有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方面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。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</w:p>
    <w:p>
      <w:pPr>
        <w:adjustRightInd w:val="0"/>
        <w:snapToGrid w:val="0"/>
        <w:spacing w:line="300" w:lineRule="auto"/>
        <w:ind w:firstLine="560" w:firstLineChars="200"/>
        <w:jc w:val="center"/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</w:pP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图4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 xml:space="preserve">. 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2025战略</w:t>
      </w:r>
      <w:r>
        <w:rPr>
          <w:rFonts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规划</w:t>
      </w:r>
      <w:r>
        <w:rPr>
          <w:rFonts w:hint="eastAsia" w:ascii="微软雅黑" w:hAnsi="微软雅黑" w:eastAsia="微软雅黑"/>
          <w:color w:val="000000" w:themeColor="text1"/>
          <w:sz w:val="28"/>
          <w:szCs w:val="30"/>
          <w:shd w:val="clear" w:color="auto" w:fill="FFFFFF"/>
        </w:rPr>
        <w:t>内容结构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以“战略规划2025”中“社会影响”方面的第一个目标“在研究和创新方面成为引领者”为例，规划中陈述的主要内容为：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目标：在研究和创新方面得到广泛认可，成为引领者，推进对基本问题的理解，能够为具有重要社会意义的问题提出解决方案。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策略：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1、扩大本科生和研究生的奖学金；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2、加大力度招募并留住世界一流教师；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3、促进教职员工，学生和校友之间的跨学科交流；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4、在新兴领域给予紧急性支持；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5、培育和重视基础研究和学术表现的创新形式；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6、在福布斯大道创建一个新的创新走廊；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7、发展“生态”基础设施，促进和支持卓越的CMU的研究、创造、创新和创业；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8、制定一个战略，以确定新的国际机会，培育持续的国际伙伴关系；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9、提供地区、国家和国际研究上的议题；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10、专注于高效、有效和灵活的商业实践，以支持不断发展的大学社区需求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其中第1条策略“扩大本科生和研究生的奖学金”下又包括4项具体措施：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（1）无论在什么财政情况下，都要显著增加学生的奖学金以促进不同学生群体的招生和保留，同时通过确保学生的优秀来确保优秀教职工的招聘；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（2）强调为受助者提供确定的财政支持和体面的奖学金名称；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（3）在可能的情况下，继续努力控制学生贷款，特别是对那些贷款需求很大的学生；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（4）在CMU提供的教育有着显著经济回报的背景下，扩展直接的经济支持以帮助学生和家庭调配好上学的成本。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可以看出，CMU战略规划的文本内容都尽可能的简洁明了、重点突出，非常有利于宣传，易于大学成员地理解和落实。</w:t>
      </w:r>
    </w:p>
    <w:p>
      <w:pPr>
        <w:pStyle w:val="44"/>
        <w:ind w:left="420" w:leftChars="200"/>
        <w:rPr>
          <w:rFonts w:ascii="微软雅黑" w:hAnsi="微软雅黑" w:eastAsia="微软雅黑"/>
          <w:color w:val="333333"/>
          <w:sz w:val="30"/>
          <w:szCs w:val="30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0"/>
        <w:spacing w:before="156" w:after="156"/>
        <w:rPr>
          <w:rFonts w:eastAsia="Microsoft YaHei UI"/>
        </w:rPr>
      </w:pPr>
      <w:bookmarkStart w:id="4" w:name="_Toc42065614"/>
      <w:r>
        <w:rPr>
          <w:rFonts w:hint="eastAsia" w:eastAsia="Microsoft YaHei UI"/>
        </w:rPr>
        <w:t>五、卡内基•梅隆大学</w:t>
      </w:r>
      <w:r>
        <w:rPr>
          <w:rFonts w:eastAsia="Microsoft YaHei UI"/>
        </w:rPr>
        <w:t>2025战略</w:t>
      </w:r>
      <w:r>
        <w:rPr>
          <w:rFonts w:hint="eastAsia" w:eastAsia="Microsoft YaHei UI"/>
        </w:rPr>
        <w:t>规划启示</w:t>
      </w:r>
      <w:bookmarkEnd w:id="4"/>
    </w:p>
    <w:p>
      <w:pPr>
        <w:adjustRightInd w:val="0"/>
        <w:snapToGrid w:val="0"/>
        <w:spacing w:line="300" w:lineRule="auto"/>
        <w:jc w:val="left"/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（一）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制定战略规划是大学准确定位、凝集共识的过程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大学需要好好利用制定战略规划的契机，动员大学成员，认真深入地剖析自身的比较优势，明晰发展所面临的机遇与挑战，聚焦成员普遍认可的战略目标，确定实现目标的具体策略，激发成员为实现目标而团结一致，努力奋斗。它是帮助大学认识环境、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 xml:space="preserve"> 准确定位、凝集共识、 形成力量的过程，也是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大学面向未来、迎接挑战、自我超越的开始。</w:t>
      </w:r>
    </w:p>
    <w:p>
      <w:pPr>
        <w:adjustRightInd w:val="0"/>
        <w:snapToGrid w:val="0"/>
        <w:spacing w:line="300" w:lineRule="auto"/>
        <w:jc w:val="left"/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（二）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制定战略规划</w: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是大学所有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利益相关</w: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者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的共同职责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</w:pP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制定战略规划不仅仅是大学管理者的职责，它是大学所有成员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和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利益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相关者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的共同责任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，需要建立在广大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利益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相关者，包括教师、学生、校友等充分参与、讨论、凝聚共识、获得理解与支持的基础上，才能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确保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战略规划所确定的发展目标的实现。</w:t>
      </w:r>
    </w:p>
    <w:p>
      <w:pPr>
        <w:adjustRightInd w:val="0"/>
        <w:snapToGrid w:val="0"/>
        <w:spacing w:line="300" w:lineRule="auto"/>
        <w:jc w:val="left"/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（三）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战略规划</w: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要</w:t>
      </w:r>
      <w:r>
        <w:rPr>
          <w:rFonts w:ascii="微软雅黑" w:hAnsi="微软雅黑" w:eastAsia="微软雅黑"/>
          <w:b/>
          <w:color w:val="000000" w:themeColor="text1"/>
          <w:sz w:val="28"/>
          <w:szCs w:val="30"/>
          <w:shd w:val="clear" w:color="auto" w:fill="FFFFFF"/>
        </w:rPr>
        <w:t>简洁明了，易于理解和落实</w:t>
      </w:r>
    </w:p>
    <w:p>
      <w:pPr>
        <w:adjustRightInd w:val="0"/>
        <w:snapToGrid w:val="0"/>
        <w:spacing w:line="300" w:lineRule="auto"/>
        <w:ind w:firstLine="560" w:firstLineChars="200"/>
        <w:jc w:val="left"/>
        <w:rPr>
          <w:rFonts w:ascii="楷体" w:hAnsi="楷体" w:eastAsia="楷体"/>
          <w:b/>
          <w:bCs/>
          <w:sz w:val="24"/>
        </w:rPr>
      </w:pP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大学的愿景、使命和价值是其存在和发展的理由，战略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规划要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在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大学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核心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内容上保持延续性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，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确保大学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的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教育本质，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不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迷失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发展方向。同时战略</w:t>
      </w:r>
      <w:r>
        <w:rPr>
          <w:rFonts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规划内容要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shd w:val="clear" w:color="auto" w:fill="FFFFFF"/>
        </w:rPr>
        <w:t>简洁明了、重点突出，成为便于宣传、理解和落实的大学发展“指南”。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sz w:val="22"/>
      </w:rPr>
    </w:pPr>
  </w:p>
  <w:p>
    <w:pPr>
      <w:pStyle w:val="6"/>
      <w:rPr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2"/>
      </w:rPr>
      <w:id w:val="-1637402964"/>
      <w:docPartObj>
        <w:docPartGallery w:val="AutoText"/>
      </w:docPartObj>
    </w:sdtPr>
    <w:sdtEndPr>
      <w:rPr>
        <w:sz w:val="22"/>
      </w:rPr>
    </w:sdtEndPr>
    <w:sdtContent>
      <w:p>
        <w:pPr>
          <w:pStyle w:val="6"/>
          <w:jc w:val="center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 xml:space="preserve">PAGE   \* MERGEFORMAT</w:instrText>
        </w:r>
        <w:r>
          <w:rPr>
            <w:sz w:val="22"/>
          </w:rPr>
          <w:fldChar w:fldCharType="separate"/>
        </w:r>
        <w:r>
          <w:rPr>
            <w:sz w:val="22"/>
            <w:lang w:val="zh-CN"/>
          </w:rPr>
          <w:t>6</w:t>
        </w:r>
        <w:r>
          <w:rPr>
            <w:sz w:val="22"/>
            <w:lang w:val="zh-CN"/>
          </w:rPr>
          <w:fldChar w:fldCharType="end"/>
        </w:r>
      </w:p>
    </w:sdtContent>
  </w:sdt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2843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62FE"/>
    <w:rsid w:val="0000063B"/>
    <w:rsid w:val="00005ABB"/>
    <w:rsid w:val="00006A45"/>
    <w:rsid w:val="00012F7E"/>
    <w:rsid w:val="0001575C"/>
    <w:rsid w:val="00015D7E"/>
    <w:rsid w:val="000254B8"/>
    <w:rsid w:val="000463B8"/>
    <w:rsid w:val="000516A1"/>
    <w:rsid w:val="00053326"/>
    <w:rsid w:val="00053C1D"/>
    <w:rsid w:val="00057471"/>
    <w:rsid w:val="00057EDD"/>
    <w:rsid w:val="00057FFD"/>
    <w:rsid w:val="00065423"/>
    <w:rsid w:val="000669E8"/>
    <w:rsid w:val="00070886"/>
    <w:rsid w:val="000762FE"/>
    <w:rsid w:val="00081F94"/>
    <w:rsid w:val="00086B5E"/>
    <w:rsid w:val="00087F63"/>
    <w:rsid w:val="00094C46"/>
    <w:rsid w:val="000962B3"/>
    <w:rsid w:val="0009701C"/>
    <w:rsid w:val="000A0DDF"/>
    <w:rsid w:val="000B142E"/>
    <w:rsid w:val="000B78E4"/>
    <w:rsid w:val="000C348A"/>
    <w:rsid w:val="000C6598"/>
    <w:rsid w:val="000D6680"/>
    <w:rsid w:val="000D677E"/>
    <w:rsid w:val="000E2602"/>
    <w:rsid w:val="000E5D32"/>
    <w:rsid w:val="000F36DC"/>
    <w:rsid w:val="00107D3B"/>
    <w:rsid w:val="00115018"/>
    <w:rsid w:val="00120642"/>
    <w:rsid w:val="001236AF"/>
    <w:rsid w:val="0013621F"/>
    <w:rsid w:val="00142634"/>
    <w:rsid w:val="00142A5A"/>
    <w:rsid w:val="00145604"/>
    <w:rsid w:val="00145D99"/>
    <w:rsid w:val="00146653"/>
    <w:rsid w:val="00155CE5"/>
    <w:rsid w:val="00163872"/>
    <w:rsid w:val="001666DC"/>
    <w:rsid w:val="00172C41"/>
    <w:rsid w:val="00174F38"/>
    <w:rsid w:val="00175152"/>
    <w:rsid w:val="00175CAA"/>
    <w:rsid w:val="001822A0"/>
    <w:rsid w:val="00193412"/>
    <w:rsid w:val="001A3D56"/>
    <w:rsid w:val="001A4021"/>
    <w:rsid w:val="001A5181"/>
    <w:rsid w:val="001B2D5A"/>
    <w:rsid w:val="001B2D67"/>
    <w:rsid w:val="001C64B4"/>
    <w:rsid w:val="001C7D1E"/>
    <w:rsid w:val="001D29C1"/>
    <w:rsid w:val="001E3FAA"/>
    <w:rsid w:val="001E4DA2"/>
    <w:rsid w:val="001E5C4D"/>
    <w:rsid w:val="001F2232"/>
    <w:rsid w:val="001F7A65"/>
    <w:rsid w:val="00200FA0"/>
    <w:rsid w:val="00201AAB"/>
    <w:rsid w:val="00202061"/>
    <w:rsid w:val="00203328"/>
    <w:rsid w:val="002057CD"/>
    <w:rsid w:val="00216E73"/>
    <w:rsid w:val="002173F5"/>
    <w:rsid w:val="00223051"/>
    <w:rsid w:val="00223436"/>
    <w:rsid w:val="0023321B"/>
    <w:rsid w:val="00236E02"/>
    <w:rsid w:val="00241792"/>
    <w:rsid w:val="00243345"/>
    <w:rsid w:val="00247979"/>
    <w:rsid w:val="002513E8"/>
    <w:rsid w:val="00254201"/>
    <w:rsid w:val="00257ABF"/>
    <w:rsid w:val="002611D3"/>
    <w:rsid w:val="00262CA5"/>
    <w:rsid w:val="002704FF"/>
    <w:rsid w:val="00271359"/>
    <w:rsid w:val="00284900"/>
    <w:rsid w:val="00290273"/>
    <w:rsid w:val="00291776"/>
    <w:rsid w:val="002939A7"/>
    <w:rsid w:val="00293BBB"/>
    <w:rsid w:val="00293ECE"/>
    <w:rsid w:val="00294ADA"/>
    <w:rsid w:val="002A230C"/>
    <w:rsid w:val="002A69CD"/>
    <w:rsid w:val="002A7538"/>
    <w:rsid w:val="002B5451"/>
    <w:rsid w:val="002B670C"/>
    <w:rsid w:val="002B6E71"/>
    <w:rsid w:val="002C4C1B"/>
    <w:rsid w:val="002E32FA"/>
    <w:rsid w:val="002E66E0"/>
    <w:rsid w:val="002E7638"/>
    <w:rsid w:val="00300F43"/>
    <w:rsid w:val="003131B6"/>
    <w:rsid w:val="00315C14"/>
    <w:rsid w:val="003170F5"/>
    <w:rsid w:val="00322106"/>
    <w:rsid w:val="00324891"/>
    <w:rsid w:val="003347DC"/>
    <w:rsid w:val="003439FF"/>
    <w:rsid w:val="0035328C"/>
    <w:rsid w:val="00353538"/>
    <w:rsid w:val="0036045E"/>
    <w:rsid w:val="003610C7"/>
    <w:rsid w:val="003623E7"/>
    <w:rsid w:val="0036343D"/>
    <w:rsid w:val="00364992"/>
    <w:rsid w:val="003736DD"/>
    <w:rsid w:val="003761D8"/>
    <w:rsid w:val="00376CC3"/>
    <w:rsid w:val="00380E9F"/>
    <w:rsid w:val="00387D11"/>
    <w:rsid w:val="00393CCF"/>
    <w:rsid w:val="003A0008"/>
    <w:rsid w:val="003B1A5A"/>
    <w:rsid w:val="003C4F6C"/>
    <w:rsid w:val="003C670A"/>
    <w:rsid w:val="003D6A8A"/>
    <w:rsid w:val="003E1005"/>
    <w:rsid w:val="003F333B"/>
    <w:rsid w:val="003F35B6"/>
    <w:rsid w:val="003F4332"/>
    <w:rsid w:val="00401953"/>
    <w:rsid w:val="00401C9C"/>
    <w:rsid w:val="0040310D"/>
    <w:rsid w:val="004064BB"/>
    <w:rsid w:val="00410CA2"/>
    <w:rsid w:val="00414F26"/>
    <w:rsid w:val="00416BBD"/>
    <w:rsid w:val="004251C1"/>
    <w:rsid w:val="00426F13"/>
    <w:rsid w:val="004278DC"/>
    <w:rsid w:val="004330B7"/>
    <w:rsid w:val="00447A43"/>
    <w:rsid w:val="00453A50"/>
    <w:rsid w:val="00457706"/>
    <w:rsid w:val="00457CAB"/>
    <w:rsid w:val="00464D44"/>
    <w:rsid w:val="00475D91"/>
    <w:rsid w:val="00487D0D"/>
    <w:rsid w:val="004914B9"/>
    <w:rsid w:val="0049687C"/>
    <w:rsid w:val="00496B2E"/>
    <w:rsid w:val="004A1180"/>
    <w:rsid w:val="004A5FC8"/>
    <w:rsid w:val="004C47DB"/>
    <w:rsid w:val="004D5D53"/>
    <w:rsid w:val="004F43A5"/>
    <w:rsid w:val="004F4A2D"/>
    <w:rsid w:val="004F5089"/>
    <w:rsid w:val="004F5CF5"/>
    <w:rsid w:val="004F61CB"/>
    <w:rsid w:val="004F70F0"/>
    <w:rsid w:val="004F749A"/>
    <w:rsid w:val="004F7968"/>
    <w:rsid w:val="00501C17"/>
    <w:rsid w:val="00505701"/>
    <w:rsid w:val="005107B4"/>
    <w:rsid w:val="00512C62"/>
    <w:rsid w:val="005178C5"/>
    <w:rsid w:val="00523883"/>
    <w:rsid w:val="00532E25"/>
    <w:rsid w:val="00536CCD"/>
    <w:rsid w:val="005511F2"/>
    <w:rsid w:val="00551725"/>
    <w:rsid w:val="00553A96"/>
    <w:rsid w:val="00554F3F"/>
    <w:rsid w:val="00557E36"/>
    <w:rsid w:val="00562B6C"/>
    <w:rsid w:val="005654CE"/>
    <w:rsid w:val="00566429"/>
    <w:rsid w:val="00571430"/>
    <w:rsid w:val="0057651F"/>
    <w:rsid w:val="0058459E"/>
    <w:rsid w:val="005855E9"/>
    <w:rsid w:val="00586A4B"/>
    <w:rsid w:val="005900B6"/>
    <w:rsid w:val="00594417"/>
    <w:rsid w:val="005956DA"/>
    <w:rsid w:val="0059644C"/>
    <w:rsid w:val="00596C68"/>
    <w:rsid w:val="005A19C1"/>
    <w:rsid w:val="005A1C85"/>
    <w:rsid w:val="005B4275"/>
    <w:rsid w:val="005B52F5"/>
    <w:rsid w:val="005B6CB1"/>
    <w:rsid w:val="005C002A"/>
    <w:rsid w:val="005C2A14"/>
    <w:rsid w:val="005C32AD"/>
    <w:rsid w:val="005C4BE4"/>
    <w:rsid w:val="005D60C3"/>
    <w:rsid w:val="005D6345"/>
    <w:rsid w:val="005E463D"/>
    <w:rsid w:val="005E5305"/>
    <w:rsid w:val="005E6955"/>
    <w:rsid w:val="005E7FDA"/>
    <w:rsid w:val="005F2C83"/>
    <w:rsid w:val="005F6F96"/>
    <w:rsid w:val="006012D3"/>
    <w:rsid w:val="00601AA4"/>
    <w:rsid w:val="00603055"/>
    <w:rsid w:val="00603293"/>
    <w:rsid w:val="00604931"/>
    <w:rsid w:val="00615AB7"/>
    <w:rsid w:val="006165F6"/>
    <w:rsid w:val="0062198E"/>
    <w:rsid w:val="00622D86"/>
    <w:rsid w:val="0064313D"/>
    <w:rsid w:val="00643982"/>
    <w:rsid w:val="00646681"/>
    <w:rsid w:val="006525F0"/>
    <w:rsid w:val="00654468"/>
    <w:rsid w:val="00656266"/>
    <w:rsid w:val="006706FA"/>
    <w:rsid w:val="006775C9"/>
    <w:rsid w:val="00680A3B"/>
    <w:rsid w:val="00685F89"/>
    <w:rsid w:val="0068646D"/>
    <w:rsid w:val="00687FEF"/>
    <w:rsid w:val="0069344E"/>
    <w:rsid w:val="00694F58"/>
    <w:rsid w:val="006A1C41"/>
    <w:rsid w:val="006B3504"/>
    <w:rsid w:val="006B51B4"/>
    <w:rsid w:val="006C0948"/>
    <w:rsid w:val="006C17EE"/>
    <w:rsid w:val="006C2B73"/>
    <w:rsid w:val="006D367E"/>
    <w:rsid w:val="006D4463"/>
    <w:rsid w:val="006D6FEA"/>
    <w:rsid w:val="006E218A"/>
    <w:rsid w:val="006E3980"/>
    <w:rsid w:val="006E7C31"/>
    <w:rsid w:val="006F2025"/>
    <w:rsid w:val="006F3D85"/>
    <w:rsid w:val="006F5E89"/>
    <w:rsid w:val="00701769"/>
    <w:rsid w:val="00702496"/>
    <w:rsid w:val="00706658"/>
    <w:rsid w:val="00710080"/>
    <w:rsid w:val="007107F2"/>
    <w:rsid w:val="00714235"/>
    <w:rsid w:val="00717EDF"/>
    <w:rsid w:val="00723240"/>
    <w:rsid w:val="00724D52"/>
    <w:rsid w:val="00725889"/>
    <w:rsid w:val="00725E73"/>
    <w:rsid w:val="0072602A"/>
    <w:rsid w:val="0072745E"/>
    <w:rsid w:val="00727777"/>
    <w:rsid w:val="00730FD7"/>
    <w:rsid w:val="00736287"/>
    <w:rsid w:val="007376CE"/>
    <w:rsid w:val="00741D07"/>
    <w:rsid w:val="00743F79"/>
    <w:rsid w:val="00744CA9"/>
    <w:rsid w:val="00744F8C"/>
    <w:rsid w:val="00747269"/>
    <w:rsid w:val="00751067"/>
    <w:rsid w:val="0075591A"/>
    <w:rsid w:val="0075691F"/>
    <w:rsid w:val="007638DE"/>
    <w:rsid w:val="0076558A"/>
    <w:rsid w:val="00766649"/>
    <w:rsid w:val="00770896"/>
    <w:rsid w:val="00771867"/>
    <w:rsid w:val="00771FC1"/>
    <w:rsid w:val="00781CDE"/>
    <w:rsid w:val="00782334"/>
    <w:rsid w:val="0078479E"/>
    <w:rsid w:val="007947A5"/>
    <w:rsid w:val="007976EA"/>
    <w:rsid w:val="007A36FD"/>
    <w:rsid w:val="007B6B2E"/>
    <w:rsid w:val="007C4E5F"/>
    <w:rsid w:val="007C5BC1"/>
    <w:rsid w:val="007D4258"/>
    <w:rsid w:val="007D5456"/>
    <w:rsid w:val="007D7E78"/>
    <w:rsid w:val="007E6BE7"/>
    <w:rsid w:val="007F5184"/>
    <w:rsid w:val="007F56BE"/>
    <w:rsid w:val="007F7175"/>
    <w:rsid w:val="007F7B25"/>
    <w:rsid w:val="008003BE"/>
    <w:rsid w:val="00811CA1"/>
    <w:rsid w:val="00814AE2"/>
    <w:rsid w:val="008179BD"/>
    <w:rsid w:val="00820247"/>
    <w:rsid w:val="008215FB"/>
    <w:rsid w:val="00821F62"/>
    <w:rsid w:val="00824214"/>
    <w:rsid w:val="00825239"/>
    <w:rsid w:val="00826EFA"/>
    <w:rsid w:val="0082782D"/>
    <w:rsid w:val="0083421A"/>
    <w:rsid w:val="008351E1"/>
    <w:rsid w:val="00836B5A"/>
    <w:rsid w:val="00840EC2"/>
    <w:rsid w:val="00843E02"/>
    <w:rsid w:val="008551EA"/>
    <w:rsid w:val="008562AA"/>
    <w:rsid w:val="008715CD"/>
    <w:rsid w:val="008723F7"/>
    <w:rsid w:val="00880C08"/>
    <w:rsid w:val="00883B2D"/>
    <w:rsid w:val="00890358"/>
    <w:rsid w:val="00891EEC"/>
    <w:rsid w:val="008A3069"/>
    <w:rsid w:val="008A357B"/>
    <w:rsid w:val="008B09A9"/>
    <w:rsid w:val="008B240C"/>
    <w:rsid w:val="008B3E2E"/>
    <w:rsid w:val="008C16E7"/>
    <w:rsid w:val="008C5A9B"/>
    <w:rsid w:val="008D2794"/>
    <w:rsid w:val="008D3AEF"/>
    <w:rsid w:val="008E44CF"/>
    <w:rsid w:val="008E6CA0"/>
    <w:rsid w:val="008F2D5E"/>
    <w:rsid w:val="008F5C08"/>
    <w:rsid w:val="00902E4D"/>
    <w:rsid w:val="00904921"/>
    <w:rsid w:val="009127B6"/>
    <w:rsid w:val="00912D51"/>
    <w:rsid w:val="00914B9E"/>
    <w:rsid w:val="00926CC7"/>
    <w:rsid w:val="00932991"/>
    <w:rsid w:val="009335E8"/>
    <w:rsid w:val="00934B96"/>
    <w:rsid w:val="00935369"/>
    <w:rsid w:val="00936E28"/>
    <w:rsid w:val="009446A1"/>
    <w:rsid w:val="00951009"/>
    <w:rsid w:val="009525C2"/>
    <w:rsid w:val="00957C4D"/>
    <w:rsid w:val="009670E6"/>
    <w:rsid w:val="009807B2"/>
    <w:rsid w:val="00980BCE"/>
    <w:rsid w:val="00992967"/>
    <w:rsid w:val="00994296"/>
    <w:rsid w:val="00996811"/>
    <w:rsid w:val="009B342B"/>
    <w:rsid w:val="009B4421"/>
    <w:rsid w:val="009C5C58"/>
    <w:rsid w:val="009D6EEE"/>
    <w:rsid w:val="009E0254"/>
    <w:rsid w:val="009F2A58"/>
    <w:rsid w:val="009F592D"/>
    <w:rsid w:val="009F7843"/>
    <w:rsid w:val="00A03F6C"/>
    <w:rsid w:val="00A10063"/>
    <w:rsid w:val="00A10836"/>
    <w:rsid w:val="00A17153"/>
    <w:rsid w:val="00A17C43"/>
    <w:rsid w:val="00A202E1"/>
    <w:rsid w:val="00A253F0"/>
    <w:rsid w:val="00A34BF9"/>
    <w:rsid w:val="00A41F72"/>
    <w:rsid w:val="00A4617F"/>
    <w:rsid w:val="00A502FA"/>
    <w:rsid w:val="00A51C71"/>
    <w:rsid w:val="00A55BBF"/>
    <w:rsid w:val="00A71B5F"/>
    <w:rsid w:val="00A766C3"/>
    <w:rsid w:val="00A82155"/>
    <w:rsid w:val="00A84392"/>
    <w:rsid w:val="00A918AD"/>
    <w:rsid w:val="00A96F39"/>
    <w:rsid w:val="00AA73C9"/>
    <w:rsid w:val="00AB5046"/>
    <w:rsid w:val="00AC4EC5"/>
    <w:rsid w:val="00AC7079"/>
    <w:rsid w:val="00AC78B3"/>
    <w:rsid w:val="00AC7B51"/>
    <w:rsid w:val="00AD1365"/>
    <w:rsid w:val="00AD7A42"/>
    <w:rsid w:val="00AE1DDB"/>
    <w:rsid w:val="00AE322A"/>
    <w:rsid w:val="00AF25F3"/>
    <w:rsid w:val="00B02045"/>
    <w:rsid w:val="00B0411C"/>
    <w:rsid w:val="00B0584B"/>
    <w:rsid w:val="00B06828"/>
    <w:rsid w:val="00B117E4"/>
    <w:rsid w:val="00B131CB"/>
    <w:rsid w:val="00B1356C"/>
    <w:rsid w:val="00B14DCF"/>
    <w:rsid w:val="00B15363"/>
    <w:rsid w:val="00B171DA"/>
    <w:rsid w:val="00B21331"/>
    <w:rsid w:val="00B2222D"/>
    <w:rsid w:val="00B22F36"/>
    <w:rsid w:val="00B2304C"/>
    <w:rsid w:val="00B275A7"/>
    <w:rsid w:val="00B32F22"/>
    <w:rsid w:val="00B346EB"/>
    <w:rsid w:val="00B41068"/>
    <w:rsid w:val="00B42E38"/>
    <w:rsid w:val="00B62FB3"/>
    <w:rsid w:val="00B6529C"/>
    <w:rsid w:val="00B70942"/>
    <w:rsid w:val="00B73B28"/>
    <w:rsid w:val="00B74E08"/>
    <w:rsid w:val="00B8180E"/>
    <w:rsid w:val="00B865FC"/>
    <w:rsid w:val="00B94C47"/>
    <w:rsid w:val="00BA02E0"/>
    <w:rsid w:val="00BA2A22"/>
    <w:rsid w:val="00BA3E0F"/>
    <w:rsid w:val="00BA767D"/>
    <w:rsid w:val="00BB2CF7"/>
    <w:rsid w:val="00BC61F1"/>
    <w:rsid w:val="00BD1FE7"/>
    <w:rsid w:val="00BD7891"/>
    <w:rsid w:val="00BE7C8B"/>
    <w:rsid w:val="00C001A0"/>
    <w:rsid w:val="00C02D06"/>
    <w:rsid w:val="00C04875"/>
    <w:rsid w:val="00C064B8"/>
    <w:rsid w:val="00C10D7C"/>
    <w:rsid w:val="00C11408"/>
    <w:rsid w:val="00C13E87"/>
    <w:rsid w:val="00C2379A"/>
    <w:rsid w:val="00C2481C"/>
    <w:rsid w:val="00C25C21"/>
    <w:rsid w:val="00C30D4F"/>
    <w:rsid w:val="00C34244"/>
    <w:rsid w:val="00C46A54"/>
    <w:rsid w:val="00C5077C"/>
    <w:rsid w:val="00C50D0E"/>
    <w:rsid w:val="00C553C6"/>
    <w:rsid w:val="00C57505"/>
    <w:rsid w:val="00C63C4F"/>
    <w:rsid w:val="00C66739"/>
    <w:rsid w:val="00C669AE"/>
    <w:rsid w:val="00C67920"/>
    <w:rsid w:val="00C70799"/>
    <w:rsid w:val="00C805EC"/>
    <w:rsid w:val="00C9271D"/>
    <w:rsid w:val="00C95E9A"/>
    <w:rsid w:val="00C96DF1"/>
    <w:rsid w:val="00CA163A"/>
    <w:rsid w:val="00CA39B8"/>
    <w:rsid w:val="00CA5DF7"/>
    <w:rsid w:val="00CA7260"/>
    <w:rsid w:val="00CC1C0B"/>
    <w:rsid w:val="00CD0E25"/>
    <w:rsid w:val="00CD1147"/>
    <w:rsid w:val="00CD18F6"/>
    <w:rsid w:val="00CD3488"/>
    <w:rsid w:val="00CD7826"/>
    <w:rsid w:val="00CE00B3"/>
    <w:rsid w:val="00CE1104"/>
    <w:rsid w:val="00CE29F3"/>
    <w:rsid w:val="00CE6D02"/>
    <w:rsid w:val="00CF047E"/>
    <w:rsid w:val="00CF6AE5"/>
    <w:rsid w:val="00D05883"/>
    <w:rsid w:val="00D06004"/>
    <w:rsid w:val="00D10320"/>
    <w:rsid w:val="00D1379D"/>
    <w:rsid w:val="00D145FB"/>
    <w:rsid w:val="00D20731"/>
    <w:rsid w:val="00D30378"/>
    <w:rsid w:val="00D310D8"/>
    <w:rsid w:val="00D36A15"/>
    <w:rsid w:val="00D37C74"/>
    <w:rsid w:val="00D4679E"/>
    <w:rsid w:val="00D5193E"/>
    <w:rsid w:val="00D5235B"/>
    <w:rsid w:val="00D56EE9"/>
    <w:rsid w:val="00D60183"/>
    <w:rsid w:val="00D6314F"/>
    <w:rsid w:val="00D65B84"/>
    <w:rsid w:val="00D752F8"/>
    <w:rsid w:val="00D85F13"/>
    <w:rsid w:val="00D873D9"/>
    <w:rsid w:val="00D90064"/>
    <w:rsid w:val="00D94DE3"/>
    <w:rsid w:val="00D97F68"/>
    <w:rsid w:val="00DA6668"/>
    <w:rsid w:val="00DB10D7"/>
    <w:rsid w:val="00DC0325"/>
    <w:rsid w:val="00DC3D6A"/>
    <w:rsid w:val="00DC474D"/>
    <w:rsid w:val="00DD33BE"/>
    <w:rsid w:val="00DF18A7"/>
    <w:rsid w:val="00DF51EF"/>
    <w:rsid w:val="00E020F8"/>
    <w:rsid w:val="00E17EFC"/>
    <w:rsid w:val="00E23FE5"/>
    <w:rsid w:val="00E3323B"/>
    <w:rsid w:val="00E33AA4"/>
    <w:rsid w:val="00E40664"/>
    <w:rsid w:val="00E426EA"/>
    <w:rsid w:val="00E452E7"/>
    <w:rsid w:val="00E45785"/>
    <w:rsid w:val="00E54C43"/>
    <w:rsid w:val="00E555C8"/>
    <w:rsid w:val="00E60789"/>
    <w:rsid w:val="00E60A7A"/>
    <w:rsid w:val="00E62FA4"/>
    <w:rsid w:val="00E70EB1"/>
    <w:rsid w:val="00E73C76"/>
    <w:rsid w:val="00E7572A"/>
    <w:rsid w:val="00E83320"/>
    <w:rsid w:val="00E90260"/>
    <w:rsid w:val="00EA3B8B"/>
    <w:rsid w:val="00EA42FF"/>
    <w:rsid w:val="00EA7BE4"/>
    <w:rsid w:val="00EB2A6B"/>
    <w:rsid w:val="00EB6379"/>
    <w:rsid w:val="00EB6A3E"/>
    <w:rsid w:val="00EB717E"/>
    <w:rsid w:val="00EC4514"/>
    <w:rsid w:val="00ED45E9"/>
    <w:rsid w:val="00ED52B0"/>
    <w:rsid w:val="00ED54D0"/>
    <w:rsid w:val="00EE6474"/>
    <w:rsid w:val="00EE6DE3"/>
    <w:rsid w:val="00EF36D0"/>
    <w:rsid w:val="00EF5A67"/>
    <w:rsid w:val="00EF6876"/>
    <w:rsid w:val="00F034BA"/>
    <w:rsid w:val="00F03AEA"/>
    <w:rsid w:val="00F15BD9"/>
    <w:rsid w:val="00F20FDF"/>
    <w:rsid w:val="00F22308"/>
    <w:rsid w:val="00F30E92"/>
    <w:rsid w:val="00F35B59"/>
    <w:rsid w:val="00F36A88"/>
    <w:rsid w:val="00F428BE"/>
    <w:rsid w:val="00F46B2A"/>
    <w:rsid w:val="00F47B9B"/>
    <w:rsid w:val="00F614F6"/>
    <w:rsid w:val="00F639E9"/>
    <w:rsid w:val="00F67447"/>
    <w:rsid w:val="00F705EC"/>
    <w:rsid w:val="00F773E2"/>
    <w:rsid w:val="00F804D1"/>
    <w:rsid w:val="00F80891"/>
    <w:rsid w:val="00F81BB2"/>
    <w:rsid w:val="00F84ED1"/>
    <w:rsid w:val="00F85F80"/>
    <w:rsid w:val="00F95BF4"/>
    <w:rsid w:val="00FA5A87"/>
    <w:rsid w:val="00FB132A"/>
    <w:rsid w:val="00FB5793"/>
    <w:rsid w:val="00FC0493"/>
    <w:rsid w:val="00FC7BB6"/>
    <w:rsid w:val="00FD0302"/>
    <w:rsid w:val="00FE2A32"/>
    <w:rsid w:val="00FE40D0"/>
    <w:rsid w:val="00FE5BB3"/>
    <w:rsid w:val="00FE6A4B"/>
    <w:rsid w:val="00FF4677"/>
    <w:rsid w:val="00FF4FD2"/>
    <w:rsid w:val="00FF5FF6"/>
    <w:rsid w:val="7762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widowControl/>
      <w:adjustRightInd w:val="0"/>
      <w:snapToGrid w:val="0"/>
      <w:spacing w:beforeLines="50" w:afterLines="50"/>
      <w:jc w:val="left"/>
      <w:outlineLvl w:val="0"/>
    </w:pPr>
    <w:rPr>
      <w:rFonts w:ascii="宋体" w:hAnsi="宋体" w:eastAsia="黑体" w:cs="宋体"/>
      <w:bCs/>
      <w:kern w:val="36"/>
      <w:sz w:val="32"/>
      <w:szCs w:val="48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adjustRightInd w:val="0"/>
      <w:snapToGrid w:val="0"/>
      <w:spacing w:beforeLines="50" w:afterLines="50"/>
      <w:outlineLvl w:val="1"/>
    </w:pPr>
    <w:rPr>
      <w:rFonts w:eastAsia="楷体" w:asciiTheme="majorHAnsi" w:hAnsiTheme="majorHAnsi" w:cstheme="majorBidi"/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rPr>
      <w:rFonts w:eastAsia="黑体"/>
      <w:sz w:val="30"/>
    </w:rPr>
  </w:style>
  <w:style w:type="paragraph" w:styleId="9">
    <w:name w:val="toc 2"/>
    <w:basedOn w:val="1"/>
    <w:next w:val="1"/>
    <w:unhideWhenUsed/>
    <w:qFormat/>
    <w:uiPriority w:val="39"/>
    <w:pPr>
      <w:tabs>
        <w:tab w:val="right" w:leader="dot" w:pos="8296"/>
      </w:tabs>
      <w:ind w:left="200" w:leftChars="200" w:firstLine="200" w:firstLineChars="200"/>
    </w:pPr>
    <w:rPr>
      <w:rFonts w:eastAsia="楷体"/>
      <w:sz w:val="30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Table Theme"/>
    <w:basedOn w:val="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Emphasis"/>
    <w:basedOn w:val="14"/>
    <w:qFormat/>
    <w:uiPriority w:val="20"/>
    <w:rPr>
      <w:i/>
      <w:iCs/>
    </w:rPr>
  </w:style>
  <w:style w:type="character" w:styleId="17">
    <w:name w:val="Hyperlink"/>
    <w:basedOn w:val="14"/>
    <w:unhideWhenUsed/>
    <w:qFormat/>
    <w:uiPriority w:val="99"/>
    <w:rPr>
      <w:color w:val="0000FF"/>
      <w:u w:val="single"/>
    </w:rPr>
  </w:style>
  <w:style w:type="table" w:customStyle="1" w:styleId="18">
    <w:name w:val="中等深浅底纹 1 - 着色 11"/>
    <w:basedOn w:val="11"/>
    <w:qFormat/>
    <w:uiPriority w:val="63"/>
    <w:tblPr>
      <w:tblBorders>
        <w:top w:val="single" w:color="84B4DF" w:themeColor="accent1" w:themeTint="BF" w:sz="8" w:space="0"/>
        <w:left w:val="single" w:color="84B4DF" w:themeColor="accent1" w:themeTint="BF" w:sz="8" w:space="0"/>
        <w:bottom w:val="single" w:color="84B4DF" w:themeColor="accent1" w:themeTint="BF" w:sz="8" w:space="0"/>
        <w:right w:val="single" w:color="84B4DF" w:themeColor="accent1" w:themeTint="BF" w:sz="8" w:space="0"/>
        <w:insideH w:val="single" w:color="84B4D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84B4DF" w:themeColor="accent1" w:themeTint="BF" w:sz="8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4B4DF" w:themeColor="accent1" w:themeTint="BF" w:sz="6" w:space="0"/>
          <w:left w:val="single" w:color="84B4DF" w:themeColor="accent1" w:themeTint="BF" w:sz="8" w:space="0"/>
          <w:bottom w:val="single" w:color="84B4DF" w:themeColor="accent1" w:themeTint="BF" w:sz="8" w:space="0"/>
          <w:right w:val="single" w:color="84B4D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6E6F4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character" w:customStyle="1" w:styleId="19">
    <w:name w:val="fontstyle01"/>
    <w:basedOn w:val="14"/>
    <w:qFormat/>
    <w:uiPriority w:val="0"/>
    <w:rPr>
      <w:rFonts w:hint="eastAsia" w:ascii="华文行楷" w:eastAsia="华文行楷"/>
      <w:color w:val="0033CC"/>
      <w:sz w:val="72"/>
      <w:szCs w:val="72"/>
    </w:rPr>
  </w:style>
  <w:style w:type="character" w:customStyle="1" w:styleId="20">
    <w:name w:val="fontstyle21"/>
    <w:basedOn w:val="14"/>
    <w:qFormat/>
    <w:uiPriority w:val="0"/>
    <w:rPr>
      <w:rFonts w:hint="eastAsia" w:ascii="仿宋_GB2312" w:eastAsia="仿宋_GB2312"/>
      <w:color w:val="FF0000"/>
      <w:sz w:val="30"/>
      <w:szCs w:val="30"/>
    </w:rPr>
  </w:style>
  <w:style w:type="character" w:customStyle="1" w:styleId="21">
    <w:name w:val="fontstyle11"/>
    <w:basedOn w:val="14"/>
    <w:qFormat/>
    <w:uiPriority w:val="0"/>
    <w:rPr>
      <w:rFonts w:hint="eastAsia" w:ascii="楷体" w:hAnsi="楷体" w:eastAsia="楷体"/>
      <w:color w:val="000000"/>
      <w:sz w:val="24"/>
      <w:szCs w:val="24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页眉 字符"/>
    <w:basedOn w:val="14"/>
    <w:link w:val="7"/>
    <w:qFormat/>
    <w:uiPriority w:val="99"/>
    <w:rPr>
      <w:sz w:val="18"/>
      <w:szCs w:val="18"/>
    </w:rPr>
  </w:style>
  <w:style w:type="character" w:customStyle="1" w:styleId="24">
    <w:name w:val="页脚 字符"/>
    <w:basedOn w:val="14"/>
    <w:link w:val="6"/>
    <w:qFormat/>
    <w:uiPriority w:val="99"/>
    <w:rPr>
      <w:sz w:val="18"/>
      <w:szCs w:val="18"/>
    </w:rPr>
  </w:style>
  <w:style w:type="character" w:customStyle="1" w:styleId="25">
    <w:name w:val="标题 1 字符"/>
    <w:basedOn w:val="14"/>
    <w:link w:val="2"/>
    <w:qFormat/>
    <w:uiPriority w:val="9"/>
    <w:rPr>
      <w:rFonts w:ascii="宋体" w:hAnsi="宋体" w:eastAsia="黑体" w:cs="宋体"/>
      <w:bCs/>
      <w:kern w:val="36"/>
      <w:sz w:val="32"/>
      <w:szCs w:val="48"/>
    </w:rPr>
  </w:style>
  <w:style w:type="character" w:customStyle="1" w:styleId="26">
    <w:name w:val="apple-converted-space"/>
    <w:basedOn w:val="14"/>
    <w:qFormat/>
    <w:uiPriority w:val="0"/>
  </w:style>
  <w:style w:type="character" w:customStyle="1" w:styleId="27">
    <w:name w:val="font"/>
    <w:basedOn w:val="14"/>
    <w:qFormat/>
    <w:uiPriority w:val="0"/>
  </w:style>
  <w:style w:type="paragraph" w:customStyle="1" w:styleId="28">
    <w:name w:val="art_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src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fontstyle3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31">
    <w:name w:val="标题 2 字符"/>
    <w:basedOn w:val="14"/>
    <w:link w:val="3"/>
    <w:qFormat/>
    <w:uiPriority w:val="9"/>
    <w:rPr>
      <w:rFonts w:eastAsia="楷体" w:asciiTheme="majorHAnsi" w:hAnsiTheme="majorHAnsi" w:cstheme="majorBidi"/>
      <w:b/>
      <w:bCs/>
      <w:sz w:val="32"/>
      <w:szCs w:val="32"/>
    </w:rPr>
  </w:style>
  <w:style w:type="table" w:customStyle="1" w:styleId="32">
    <w:name w:val="清单表 4 - 着色 11"/>
    <w:basedOn w:val="11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character" w:customStyle="1" w:styleId="33">
    <w:name w:val="批注框文本 字符"/>
    <w:basedOn w:val="14"/>
    <w:link w:val="5"/>
    <w:semiHidden/>
    <w:qFormat/>
    <w:uiPriority w:val="99"/>
    <w:rPr>
      <w:sz w:val="18"/>
      <w:szCs w:val="18"/>
    </w:rPr>
  </w:style>
  <w:style w:type="paragraph" w:customStyle="1" w:styleId="34">
    <w:name w:val="one-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35">
    <w:name w:val="网格表 1 浅色 - 着色 41"/>
    <w:basedOn w:val="11"/>
    <w:qFormat/>
    <w:uiPriority w:val="46"/>
    <w:tblPr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6">
    <w:name w:val="清单表 4 - 着色 12"/>
    <w:basedOn w:val="11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7">
    <w:name w:val="网格表 3 - 着色 11"/>
    <w:basedOn w:val="11"/>
    <w:qFormat/>
    <w:uiPriority w:val="48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  <w:tblStylePr w:type="neCell">
      <w:tcPr>
        <w:tcBorders>
          <w:bottom w:val="single" w:color="9CC2E5" w:themeColor="accent1" w:themeTint="99" w:sz="4" w:space="0"/>
        </w:tcBorders>
      </w:tcPr>
    </w:tblStylePr>
    <w:tblStylePr w:type="nwCell">
      <w:tcPr>
        <w:tcBorders>
          <w:bottom w:val="single" w:color="9CC2E5" w:themeColor="accent1" w:themeTint="99" w:sz="4" w:space="0"/>
        </w:tcBorders>
      </w:tcPr>
    </w:tblStylePr>
    <w:tblStylePr w:type="seCell">
      <w:tcPr>
        <w:tcBorders>
          <w:top w:val="single" w:color="9CC2E5" w:themeColor="accent1" w:themeTint="99" w:sz="4" w:space="0"/>
        </w:tcBorders>
      </w:tcPr>
    </w:tblStylePr>
    <w:tblStylePr w:type="swCell">
      <w:tcPr>
        <w:tcBorders>
          <w:top w:val="single" w:color="9CC2E5" w:themeColor="accent1" w:themeTint="99" w:sz="4" w:space="0"/>
        </w:tcBorders>
      </w:tcPr>
    </w:tblStylePr>
  </w:style>
  <w:style w:type="table" w:customStyle="1" w:styleId="38">
    <w:name w:val="清单表 3 - 着色 11"/>
    <w:basedOn w:val="11"/>
    <w:qFormat/>
    <w:uiPriority w:val="48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bCs/>
        <w:color w:val="FFFFFF" w:themeColor="background1"/>
      </w:rPr>
      <w:tcPr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tcPr>
        <w:tcBorders>
          <w:top w:val="single" w:color="5B9BD5" w:themeColor="accent1" w:sz="4" w:space="0"/>
          <w:bottom w:val="single" w:color="5B9BD5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5B9BD5" w:themeColor="accent1" w:sz="4" w:space="0"/>
          <w:left w:val="nil"/>
        </w:tcBorders>
      </w:tcPr>
    </w:tblStylePr>
    <w:tblStylePr w:type="swCell">
      <w:tcPr>
        <w:tcBorders>
          <w:top w:val="double" w:color="5B9BD5" w:themeColor="accent1" w:sz="4" w:space="0"/>
          <w:right w:val="nil"/>
        </w:tcBorders>
      </w:tcPr>
    </w:tblStylePr>
  </w:style>
  <w:style w:type="table" w:customStyle="1" w:styleId="39">
    <w:name w:val="网格表 6 彩色 - 着色 51"/>
    <w:basedOn w:val="11"/>
    <w:qFormat/>
    <w:uiPriority w:val="51"/>
    <w:rPr>
      <w:color w:val="2F5496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paragraph" w:customStyle="1" w:styleId="40">
    <w:name w:val="小标题"/>
    <w:basedOn w:val="3"/>
    <w:next w:val="1"/>
    <w:link w:val="41"/>
    <w:qFormat/>
    <w:uiPriority w:val="0"/>
    <w:pPr>
      <w:keepLines w:val="0"/>
      <w:widowControl/>
    </w:pPr>
    <w:rPr>
      <w:rFonts w:ascii="Microsoft YaHei UI" w:hAnsi="Microsoft YaHei UI" w:eastAsia="黑体"/>
      <w:bCs w:val="0"/>
      <w:color w:val="1F4E79" w:themeColor="accent1" w:themeShade="80"/>
      <w:kern w:val="0"/>
      <w:szCs w:val="26"/>
    </w:rPr>
  </w:style>
  <w:style w:type="character" w:customStyle="1" w:styleId="41">
    <w:name w:val="小标题 Char"/>
    <w:basedOn w:val="14"/>
    <w:link w:val="40"/>
    <w:qFormat/>
    <w:uiPriority w:val="0"/>
    <w:rPr>
      <w:rFonts w:ascii="Microsoft YaHei UI" w:hAnsi="Microsoft YaHei UI" w:eastAsia="黑体" w:cstheme="majorBidi"/>
      <w:b/>
      <w:color w:val="1F4E79" w:themeColor="accent1" w:themeShade="80"/>
      <w:kern w:val="0"/>
      <w:sz w:val="32"/>
      <w:szCs w:val="26"/>
    </w:rPr>
  </w:style>
  <w:style w:type="table" w:customStyle="1" w:styleId="42">
    <w:name w:val="清单表 4 - 着色 51"/>
    <w:basedOn w:val="11"/>
    <w:qFormat/>
    <w:uiPriority w:val="49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43">
    <w:name w:val="网格表 4 - 着色 11"/>
    <w:basedOn w:val="11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44">
    <w:name w:val="报告正文"/>
    <w:link w:val="45"/>
    <w:qFormat/>
    <w:uiPriority w:val="0"/>
    <w:pPr>
      <w:snapToGrid w:val="0"/>
      <w:spacing w:line="276" w:lineRule="auto"/>
      <w:jc w:val="both"/>
    </w:pPr>
    <w:rPr>
      <w:rFonts w:ascii="Arial" w:hAnsi="Arial" w:eastAsia="Microsoft YaHei UI" w:cs="Arial"/>
      <w:kern w:val="2"/>
      <w:sz w:val="21"/>
      <w:szCs w:val="18"/>
      <w:shd w:val="clear" w:color="auto" w:fill="FFFFFF"/>
      <w:lang w:val="en-US" w:eastAsia="zh-CN" w:bidi="ar-SA"/>
    </w:rPr>
  </w:style>
  <w:style w:type="character" w:customStyle="1" w:styleId="45">
    <w:name w:val="报告正文 Char"/>
    <w:basedOn w:val="14"/>
    <w:link w:val="44"/>
    <w:qFormat/>
    <w:uiPriority w:val="0"/>
    <w:rPr>
      <w:rFonts w:ascii="Arial" w:hAnsi="Arial" w:eastAsia="Microsoft YaHei UI" w:cs="Arial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42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C2012B-F966-4BA8-8631-C0A6E808C7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695</Words>
  <Characters>3968</Characters>
  <Lines>33</Lines>
  <Paragraphs>9</Paragraphs>
  <TotalTime>3</TotalTime>
  <ScaleCrop>false</ScaleCrop>
  <LinksUpToDate>false</LinksUpToDate>
  <CharactersWithSpaces>4654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2020-05-14T12:41:00Z</dcterms:created>
  <dc:creator>莫欣</dc:creator>
  <cp:lastModifiedBy>雨生</cp:lastModifiedBy>
  <cp:lastPrinted>2020-05-15T01:32:00Z</cp:lastPrinted>
  <dcterms:modified xsi:type="dcterms:W3CDTF">2020-07-01T03:38:49Z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